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D534">
      <w:pPr>
        <w:jc w:val="center"/>
        <w:rPr>
          <w:rFonts w:hint="eastAsia" w:cs="黑体" w:asciiTheme="majorEastAsia" w:hAnsiTheme="majorEastAsia" w:eastAsiaTheme="majorEastAsia"/>
          <w:b/>
          <w:sz w:val="40"/>
          <w:szCs w:val="40"/>
        </w:rPr>
      </w:pPr>
      <w:r>
        <w:rPr>
          <w:rFonts w:hint="eastAsia" w:cs="黑体" w:asciiTheme="majorEastAsia" w:hAnsiTheme="majorEastAsia" w:eastAsiaTheme="majorEastAsia"/>
          <w:b/>
          <w:sz w:val="40"/>
          <w:szCs w:val="40"/>
        </w:rPr>
        <w:t>南昌大学保卫处智慧消防（五期）建设采购项目需求意见征集公告</w:t>
      </w:r>
    </w:p>
    <w:p w14:paraId="6A94FAA3">
      <w:pPr>
        <w:jc w:val="center"/>
        <w:rPr>
          <w:rFonts w:hint="eastAsia" w:ascii="仿宋" w:hAnsi="仿宋" w:eastAsia="仿宋" w:cs="黑体"/>
          <w:sz w:val="32"/>
          <w:szCs w:val="32"/>
        </w:rPr>
      </w:pPr>
    </w:p>
    <w:p w14:paraId="70603BBE">
      <w:pPr>
        <w:ind w:firstLine="640" w:firstLineChars="200"/>
        <w:rPr>
          <w:rFonts w:hint="eastAsia" w:ascii="仿宋" w:hAnsi="仿宋" w:eastAsia="仿宋" w:cstheme="majorEastAsia"/>
          <w:sz w:val="32"/>
          <w:szCs w:val="32"/>
        </w:rPr>
      </w:pPr>
      <w:r>
        <w:rPr>
          <w:rFonts w:hint="eastAsia" w:ascii="仿宋" w:hAnsi="仿宋" w:eastAsia="仿宋"/>
          <w:sz w:val="32"/>
          <w:szCs w:val="32"/>
        </w:rPr>
        <w:t>因</w:t>
      </w:r>
      <w:r>
        <w:rPr>
          <w:rFonts w:hint="eastAsia" w:ascii="仿宋" w:hAnsi="仿宋" w:eastAsia="仿宋"/>
          <w:b/>
          <w:bCs/>
          <w:sz w:val="32"/>
          <w:szCs w:val="32"/>
        </w:rPr>
        <w:t>南昌大学保卫处智慧消防（五期）建设采购项目</w:t>
      </w:r>
      <w:r>
        <w:rPr>
          <w:rFonts w:hint="eastAsia" w:ascii="仿宋" w:hAnsi="仿宋" w:eastAsia="仿宋"/>
          <w:sz w:val="32"/>
          <w:szCs w:val="32"/>
        </w:rPr>
        <w:t>的需要，现就该项目采购进行采购需求意见征集，具体如下:</w:t>
      </w:r>
    </w:p>
    <w:p w14:paraId="36E0E3E1">
      <w:pPr>
        <w:ind w:firstLine="643" w:firstLineChars="200"/>
        <w:rPr>
          <w:rFonts w:hint="eastAsia" w:ascii="仿宋" w:hAnsi="仿宋" w:eastAsia="仿宋"/>
          <w:b/>
          <w:bCs/>
          <w:sz w:val="32"/>
          <w:szCs w:val="32"/>
        </w:rPr>
      </w:pPr>
      <w:r>
        <w:rPr>
          <w:rFonts w:hint="eastAsia" w:ascii="仿宋" w:hAnsi="仿宋" w:eastAsia="仿宋"/>
          <w:b/>
          <w:bCs/>
          <w:sz w:val="32"/>
          <w:szCs w:val="32"/>
        </w:rPr>
        <w:t>一、采购项目名称</w:t>
      </w:r>
    </w:p>
    <w:p w14:paraId="7E2E6A79">
      <w:pPr>
        <w:ind w:firstLine="640" w:firstLineChars="200"/>
        <w:rPr>
          <w:rFonts w:hint="eastAsia" w:ascii="仿宋" w:hAnsi="仿宋" w:eastAsia="仿宋"/>
          <w:sz w:val="32"/>
          <w:szCs w:val="32"/>
        </w:rPr>
      </w:pPr>
      <w:r>
        <w:rPr>
          <w:rFonts w:hint="eastAsia" w:ascii="仿宋" w:hAnsi="仿宋" w:eastAsia="仿宋"/>
          <w:sz w:val="32"/>
          <w:szCs w:val="32"/>
        </w:rPr>
        <w:t>南昌大学保卫处智慧消防（五期）建设采购项目</w:t>
      </w:r>
    </w:p>
    <w:p w14:paraId="613296A0">
      <w:pPr>
        <w:ind w:firstLine="643" w:firstLineChars="200"/>
        <w:rPr>
          <w:rFonts w:hint="eastAsia" w:ascii="仿宋" w:hAnsi="仿宋" w:eastAsia="仿宋"/>
          <w:b/>
          <w:bCs/>
          <w:sz w:val="32"/>
          <w:szCs w:val="32"/>
        </w:rPr>
      </w:pPr>
      <w:r>
        <w:rPr>
          <w:rFonts w:hint="eastAsia" w:ascii="仿宋" w:hAnsi="仿宋" w:eastAsia="仿宋"/>
          <w:b/>
          <w:bCs/>
          <w:sz w:val="32"/>
          <w:szCs w:val="32"/>
        </w:rPr>
        <w:t>二、采购需求</w:t>
      </w:r>
    </w:p>
    <w:p w14:paraId="6CC952DC">
      <w:pPr>
        <w:ind w:firstLine="640" w:firstLineChars="200"/>
        <w:rPr>
          <w:rFonts w:hint="eastAsia" w:ascii="仿宋" w:hAnsi="仿宋" w:eastAsia="仿宋"/>
          <w:sz w:val="32"/>
          <w:szCs w:val="32"/>
        </w:rPr>
      </w:pPr>
      <w:r>
        <w:rPr>
          <w:rFonts w:hint="eastAsia" w:ascii="仿宋" w:hAnsi="仿宋" w:eastAsia="仿宋"/>
          <w:sz w:val="32"/>
          <w:szCs w:val="32"/>
        </w:rPr>
        <w:t>具体采购需求详见附件1。</w:t>
      </w:r>
    </w:p>
    <w:p w14:paraId="027CC0DB">
      <w:pPr>
        <w:ind w:firstLine="643" w:firstLineChars="200"/>
        <w:rPr>
          <w:rFonts w:hint="eastAsia" w:ascii="仿宋" w:hAnsi="仿宋" w:eastAsia="仿宋"/>
          <w:b/>
          <w:bCs/>
          <w:sz w:val="32"/>
          <w:szCs w:val="32"/>
        </w:rPr>
      </w:pPr>
      <w:r>
        <w:rPr>
          <w:rFonts w:hint="eastAsia" w:ascii="仿宋" w:hAnsi="仿宋" w:eastAsia="仿宋"/>
          <w:b/>
          <w:bCs/>
          <w:sz w:val="32"/>
          <w:szCs w:val="32"/>
        </w:rPr>
        <w:t>三、本公告期限</w:t>
      </w:r>
    </w:p>
    <w:p w14:paraId="06FF39A6">
      <w:pPr>
        <w:ind w:firstLine="640" w:firstLineChars="200"/>
        <w:rPr>
          <w:rFonts w:hint="eastAsia" w:ascii="仿宋" w:hAnsi="仿宋" w:eastAsia="仿宋"/>
          <w:sz w:val="32"/>
          <w:szCs w:val="32"/>
        </w:rPr>
      </w:pP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25</w:t>
      </w:r>
      <w:r>
        <w:rPr>
          <w:rFonts w:hint="eastAsia" w:ascii="仿宋" w:hAnsi="仿宋" w:eastAsia="仿宋"/>
          <w:sz w:val="32"/>
          <w:szCs w:val="32"/>
        </w:rPr>
        <w:t>日至</w:t>
      </w: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29</w:t>
      </w:r>
      <w:r>
        <w:rPr>
          <w:rFonts w:hint="eastAsia" w:ascii="仿宋" w:hAnsi="仿宋" w:eastAsia="仿宋"/>
          <w:sz w:val="32"/>
          <w:szCs w:val="32"/>
        </w:rPr>
        <w:t>日。（5个日历日）</w:t>
      </w:r>
    </w:p>
    <w:p w14:paraId="08534F9B">
      <w:pPr>
        <w:ind w:firstLine="643" w:firstLineChars="200"/>
        <w:rPr>
          <w:rFonts w:hint="eastAsia" w:ascii="仿宋" w:hAnsi="仿宋" w:eastAsia="仿宋"/>
          <w:b/>
          <w:bCs/>
          <w:sz w:val="32"/>
          <w:szCs w:val="32"/>
        </w:rPr>
      </w:pPr>
      <w:r>
        <w:rPr>
          <w:rFonts w:hint="eastAsia" w:ascii="仿宋" w:hAnsi="仿宋" w:eastAsia="仿宋"/>
          <w:b/>
          <w:bCs/>
          <w:sz w:val="32"/>
          <w:szCs w:val="32"/>
        </w:rPr>
        <w:t>四、说明</w:t>
      </w:r>
    </w:p>
    <w:p w14:paraId="7F219D8D">
      <w:pPr>
        <w:ind w:firstLine="640" w:firstLineChars="200"/>
        <w:rPr>
          <w:rFonts w:hint="eastAsia"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14:paraId="47A61A45">
      <w:pPr>
        <w:ind w:firstLine="640" w:firstLineChars="200"/>
        <w:rPr>
          <w:rFonts w:hint="eastAsia"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14:paraId="4A4A992A">
      <w:pPr>
        <w:ind w:firstLine="640" w:firstLineChars="200"/>
        <w:rPr>
          <w:rFonts w:hint="eastAsia"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5809F73E">
      <w:pPr>
        <w:ind w:firstLine="643" w:firstLineChars="200"/>
        <w:rPr>
          <w:rFonts w:hint="eastAsia" w:ascii="仿宋" w:hAnsi="仿宋" w:eastAsia="仿宋"/>
          <w:b/>
          <w:bCs/>
          <w:sz w:val="32"/>
          <w:szCs w:val="32"/>
        </w:rPr>
      </w:pPr>
      <w:r>
        <w:rPr>
          <w:rFonts w:hint="eastAsia" w:ascii="仿宋" w:hAnsi="仿宋" w:eastAsia="仿宋"/>
          <w:b/>
          <w:bCs/>
          <w:sz w:val="32"/>
          <w:szCs w:val="32"/>
        </w:rPr>
        <w:t>五、反馈文件递交</w:t>
      </w:r>
    </w:p>
    <w:p w14:paraId="115EEFC6">
      <w:pPr>
        <w:ind w:firstLine="640" w:firstLineChars="200"/>
        <w:rPr>
          <w:rFonts w:hint="eastAsia"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rPr>
        <w:t>5</w:t>
      </w:r>
      <w:r>
        <w:rPr>
          <w:rFonts w:hint="eastAsia" w:ascii="仿宋" w:hAnsi="仿宋" w:eastAsia="仿宋"/>
          <w:sz w:val="32"/>
          <w:szCs w:val="32"/>
        </w:rPr>
        <w:t>年</w:t>
      </w:r>
      <w:r>
        <w:rPr>
          <w:rFonts w:hint="eastAsia" w:ascii="仿宋" w:hAnsi="仿宋" w:eastAsia="仿宋" w:cs="黑体"/>
          <w:sz w:val="32"/>
          <w:szCs w:val="32"/>
          <w:lang w:val="en-US" w:eastAsia="zh-CN"/>
        </w:rPr>
        <w:t>5</w:t>
      </w:r>
      <w:r>
        <w:rPr>
          <w:rFonts w:hint="eastAsia" w:ascii="仿宋" w:hAnsi="仿宋" w:eastAsia="仿宋"/>
          <w:sz w:val="32"/>
          <w:szCs w:val="32"/>
        </w:rPr>
        <w:t>月</w:t>
      </w:r>
      <w:r>
        <w:rPr>
          <w:rFonts w:hint="eastAsia" w:ascii="仿宋" w:hAnsi="仿宋" w:eastAsia="仿宋" w:cs="黑体"/>
          <w:sz w:val="32"/>
          <w:szCs w:val="32"/>
          <w:lang w:val="en-US" w:eastAsia="zh-CN"/>
        </w:rPr>
        <w:t>6</w:t>
      </w:r>
      <w:bookmarkStart w:id="0" w:name="_GoBack"/>
      <w:bookmarkEnd w:id="0"/>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rPr>
        <w:t xml:space="preserve"> 3</w:t>
      </w:r>
      <w:r>
        <w:rPr>
          <w:rFonts w:ascii="仿宋" w:hAnsi="仿宋" w:eastAsia="仿宋" w:cs="黑体"/>
          <w:sz w:val="32"/>
          <w:szCs w:val="32"/>
        </w:rPr>
        <w:t>96892543@qq.com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r>
        <w:rPr>
          <w:rFonts w:hint="eastAsia" w:ascii="仿宋" w:hAnsi="仿宋" w:eastAsia="仿宋"/>
          <w:b/>
          <w:bCs/>
          <w:sz w:val="32"/>
          <w:szCs w:val="32"/>
        </w:rPr>
        <w:t>南昌大学保卫处智慧消防（五期）建设</w:t>
      </w:r>
      <w:r>
        <w:rPr>
          <w:rFonts w:hint="eastAsia" w:ascii="仿宋" w:hAnsi="仿宋" w:eastAsia="仿宋"/>
          <w:sz w:val="32"/>
          <w:szCs w:val="32"/>
        </w:rPr>
        <w:t>采购项目采购需求征集意见反馈材料”。</w:t>
      </w:r>
    </w:p>
    <w:p w14:paraId="02214824">
      <w:pPr>
        <w:ind w:firstLine="643" w:firstLineChars="200"/>
        <w:rPr>
          <w:rFonts w:hint="eastAsia" w:ascii="仿宋" w:hAnsi="仿宋" w:eastAsia="仿宋"/>
          <w:b/>
          <w:bCs/>
          <w:sz w:val="32"/>
          <w:szCs w:val="32"/>
        </w:rPr>
      </w:pPr>
      <w:r>
        <w:rPr>
          <w:rFonts w:hint="eastAsia" w:ascii="仿宋" w:hAnsi="仿宋" w:eastAsia="仿宋"/>
          <w:b/>
          <w:bCs/>
          <w:sz w:val="32"/>
          <w:szCs w:val="32"/>
        </w:rPr>
        <w:t>六、联系方式</w:t>
      </w:r>
    </w:p>
    <w:p w14:paraId="51D92BF3">
      <w:pPr>
        <w:ind w:firstLine="640" w:firstLineChars="200"/>
        <w:rPr>
          <w:rFonts w:hint="eastAsia" w:ascii="仿宋" w:hAnsi="仿宋" w:eastAsia="仿宋"/>
          <w:sz w:val="32"/>
          <w:szCs w:val="32"/>
        </w:rPr>
      </w:pPr>
      <w:r>
        <w:rPr>
          <w:rFonts w:hint="eastAsia" w:ascii="仿宋" w:hAnsi="仿宋" w:eastAsia="仿宋"/>
          <w:sz w:val="32"/>
          <w:szCs w:val="32"/>
        </w:rPr>
        <w:t>如对本项工作有任何疑问，请联系南昌大学招标采购中心，联系人:涂老师，联系电话:</w:t>
      </w:r>
      <w:r>
        <w:rPr>
          <w:rFonts w:hint="eastAsia" w:ascii="仿宋" w:hAnsi="仿宋" w:eastAsia="仿宋" w:cs="黑体"/>
          <w:sz w:val="32"/>
          <w:szCs w:val="32"/>
        </w:rPr>
        <w:t xml:space="preserve"> 8</w:t>
      </w:r>
      <w:r>
        <w:rPr>
          <w:rFonts w:ascii="仿宋" w:hAnsi="仿宋" w:eastAsia="仿宋" w:cs="黑体"/>
          <w:sz w:val="32"/>
          <w:szCs w:val="32"/>
        </w:rPr>
        <w:t>3969364</w:t>
      </w:r>
      <w:r>
        <w:rPr>
          <w:rFonts w:hint="eastAsia" w:ascii="仿宋" w:hAnsi="仿宋" w:eastAsia="仿宋"/>
          <w:sz w:val="32"/>
          <w:szCs w:val="32"/>
        </w:rPr>
        <w:t>。</w:t>
      </w:r>
    </w:p>
    <w:p w14:paraId="1377DCD4">
      <w:pPr>
        <w:rPr>
          <w:rFonts w:hint="eastAsia" w:ascii="仿宋" w:hAnsi="仿宋" w:eastAsia="仿宋"/>
          <w:sz w:val="32"/>
          <w:szCs w:val="32"/>
        </w:rPr>
      </w:pPr>
    </w:p>
    <w:p w14:paraId="785F696F">
      <w:pPr>
        <w:rPr>
          <w:rFonts w:hint="eastAsia" w:ascii="仿宋" w:hAnsi="仿宋" w:eastAsia="仿宋"/>
          <w:sz w:val="32"/>
          <w:szCs w:val="32"/>
        </w:rPr>
      </w:pPr>
    </w:p>
    <w:p w14:paraId="7F5CBEE8">
      <w:pPr>
        <w:rPr>
          <w:rFonts w:hint="eastAsia" w:ascii="仿宋" w:hAnsi="仿宋" w:eastAsia="仿宋"/>
          <w:sz w:val="32"/>
          <w:szCs w:val="32"/>
        </w:rPr>
      </w:pPr>
    </w:p>
    <w:p w14:paraId="2414C697">
      <w:pPr>
        <w:rPr>
          <w:rFonts w:hint="eastAsia" w:ascii="仿宋" w:hAnsi="仿宋" w:eastAsia="仿宋"/>
          <w:sz w:val="32"/>
          <w:szCs w:val="32"/>
        </w:rPr>
      </w:pPr>
    </w:p>
    <w:p w14:paraId="4C134F85">
      <w:pPr>
        <w:rPr>
          <w:rFonts w:hint="eastAsia" w:ascii="仿宋" w:hAnsi="仿宋" w:eastAsia="仿宋"/>
          <w:sz w:val="32"/>
          <w:szCs w:val="32"/>
        </w:rPr>
      </w:pPr>
    </w:p>
    <w:p w14:paraId="1BDE71CB">
      <w:pPr>
        <w:rPr>
          <w:rFonts w:hint="eastAsia" w:ascii="仿宋" w:hAnsi="仿宋" w:eastAsia="仿宋"/>
          <w:sz w:val="32"/>
          <w:szCs w:val="32"/>
        </w:rPr>
      </w:pPr>
    </w:p>
    <w:p w14:paraId="3FC02F5F">
      <w:pPr>
        <w:rPr>
          <w:rFonts w:hint="eastAsia" w:ascii="仿宋" w:hAnsi="仿宋" w:eastAsia="仿宋"/>
          <w:sz w:val="32"/>
          <w:szCs w:val="32"/>
        </w:rPr>
      </w:pPr>
    </w:p>
    <w:p w14:paraId="4AE612F2">
      <w:pPr>
        <w:rPr>
          <w:rFonts w:hint="eastAsia" w:ascii="仿宋" w:hAnsi="仿宋" w:eastAsia="仿宋"/>
          <w:sz w:val="32"/>
          <w:szCs w:val="32"/>
        </w:rPr>
      </w:pPr>
    </w:p>
    <w:p w14:paraId="7771BA08">
      <w:pPr>
        <w:rPr>
          <w:rFonts w:hint="eastAsia" w:ascii="仿宋" w:hAnsi="仿宋" w:eastAsia="仿宋"/>
          <w:sz w:val="32"/>
          <w:szCs w:val="32"/>
        </w:rPr>
      </w:pPr>
    </w:p>
    <w:p w14:paraId="60FAC93A">
      <w:pPr>
        <w:rPr>
          <w:rFonts w:hint="eastAsia" w:ascii="仿宋" w:hAnsi="仿宋" w:eastAsia="仿宋"/>
          <w:sz w:val="32"/>
          <w:szCs w:val="32"/>
        </w:rPr>
      </w:pPr>
    </w:p>
    <w:p w14:paraId="1006ADE2">
      <w:pPr>
        <w:rPr>
          <w:rFonts w:hint="eastAsia" w:ascii="仿宋" w:hAnsi="仿宋" w:eastAsia="仿宋"/>
          <w:sz w:val="32"/>
          <w:szCs w:val="32"/>
        </w:rPr>
      </w:pPr>
    </w:p>
    <w:p w14:paraId="6B497B95">
      <w:pPr>
        <w:rPr>
          <w:rFonts w:hint="eastAsia" w:ascii="仿宋" w:hAnsi="仿宋" w:eastAsia="仿宋"/>
          <w:sz w:val="32"/>
          <w:szCs w:val="32"/>
        </w:rPr>
      </w:pPr>
    </w:p>
    <w:p w14:paraId="7D170414">
      <w:pPr>
        <w:rPr>
          <w:rFonts w:hint="eastAsia" w:ascii="仿宋" w:hAnsi="仿宋" w:eastAsia="仿宋"/>
          <w:sz w:val="32"/>
          <w:szCs w:val="32"/>
        </w:rPr>
      </w:pPr>
    </w:p>
    <w:p w14:paraId="7E89EE76">
      <w:pPr>
        <w:rPr>
          <w:rFonts w:hint="eastAsia"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rPr>
        <w:t>南昌大学保卫处智慧消防（五期）建设采购项目需求书</w:t>
      </w:r>
      <w:r>
        <w:rPr>
          <w:rFonts w:hint="eastAsia" w:ascii="仿宋" w:hAnsi="仿宋" w:eastAsia="仿宋"/>
          <w:b/>
          <w:bCs/>
          <w:sz w:val="28"/>
          <w:szCs w:val="28"/>
        </w:rPr>
        <w:t>（征集意见稿）</w:t>
      </w:r>
    </w:p>
    <w:p w14:paraId="0C8E2021">
      <w:pPr>
        <w:pStyle w:val="27"/>
        <w:numPr>
          <w:ilvl w:val="0"/>
          <w:numId w:val="1"/>
        </w:numPr>
        <w:ind w:firstLineChars="0"/>
        <w:rPr>
          <w:rFonts w:hint="eastAsia" w:ascii="仿宋" w:hAnsi="仿宋" w:eastAsia="仿宋"/>
          <w:sz w:val="32"/>
          <w:szCs w:val="32"/>
        </w:rPr>
      </w:pPr>
      <w:r>
        <w:rPr>
          <w:rFonts w:hint="eastAsia" w:ascii="仿宋" w:hAnsi="仿宋" w:eastAsia="仿宋"/>
          <w:b/>
          <w:bCs/>
          <w:sz w:val="32"/>
          <w:szCs w:val="32"/>
        </w:rPr>
        <w:t>项目概述</w:t>
      </w:r>
      <w:r>
        <w:rPr>
          <w:rFonts w:hint="eastAsia" w:ascii="仿宋" w:hAnsi="仿宋" w:eastAsia="仿宋"/>
          <w:sz w:val="32"/>
          <w:szCs w:val="32"/>
        </w:rPr>
        <w:t>:</w:t>
      </w:r>
    </w:p>
    <w:tbl>
      <w:tblPr>
        <w:tblStyle w:val="14"/>
        <w:tblW w:w="102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1"/>
        <w:gridCol w:w="2074"/>
        <w:gridCol w:w="2179"/>
        <w:gridCol w:w="4677"/>
      </w:tblGrid>
      <w:tr w14:paraId="13835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271" w:type="dxa"/>
            <w:vAlign w:val="center"/>
          </w:tcPr>
          <w:p w14:paraId="2A79FCB0">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序号</w:t>
            </w:r>
          </w:p>
        </w:tc>
        <w:tc>
          <w:tcPr>
            <w:tcW w:w="2074" w:type="dxa"/>
            <w:vAlign w:val="center"/>
          </w:tcPr>
          <w:p w14:paraId="24DFA4F6">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采购项目名称</w:t>
            </w:r>
          </w:p>
        </w:tc>
        <w:tc>
          <w:tcPr>
            <w:tcW w:w="2179" w:type="dxa"/>
            <w:vAlign w:val="center"/>
          </w:tcPr>
          <w:p w14:paraId="32C82D9C">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预算金额（单位：元）</w:t>
            </w:r>
          </w:p>
        </w:tc>
        <w:tc>
          <w:tcPr>
            <w:tcW w:w="4677" w:type="dxa"/>
            <w:vAlign w:val="center"/>
          </w:tcPr>
          <w:p w14:paraId="448A9502">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采购需求概况</w:t>
            </w:r>
          </w:p>
        </w:tc>
      </w:tr>
      <w:tr w14:paraId="19E6C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vAlign w:val="center"/>
          </w:tcPr>
          <w:p w14:paraId="30C75B8B">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1</w:t>
            </w:r>
          </w:p>
        </w:tc>
        <w:tc>
          <w:tcPr>
            <w:tcW w:w="2074" w:type="dxa"/>
            <w:vAlign w:val="center"/>
          </w:tcPr>
          <w:p w14:paraId="6B0FB936">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南昌大学保卫处智慧消防（五期）建设采购项目</w:t>
            </w:r>
          </w:p>
        </w:tc>
        <w:tc>
          <w:tcPr>
            <w:tcW w:w="2179" w:type="dxa"/>
            <w:vAlign w:val="center"/>
          </w:tcPr>
          <w:p w14:paraId="55414507">
            <w:pPr>
              <w:pStyle w:val="2"/>
              <w:jc w:val="center"/>
              <w:rPr>
                <w:rFonts w:hint="eastAsia" w:ascii="仿宋" w:hAnsi="仿宋" w:eastAsia="仿宋"/>
                <w:b w:val="0"/>
                <w:bCs w:val="0"/>
                <w:sz w:val="32"/>
                <w:szCs w:val="32"/>
              </w:rPr>
            </w:pPr>
            <w:r>
              <w:rPr>
                <w:rFonts w:hint="eastAsia" w:ascii="仿宋" w:hAnsi="仿宋" w:eastAsia="仿宋" w:cs="仿宋_GB2312"/>
                <w:b w:val="0"/>
                <w:bCs w:val="0"/>
                <w:sz w:val="32"/>
                <w:szCs w:val="32"/>
              </w:rPr>
              <w:t>347.4535万元</w:t>
            </w:r>
          </w:p>
        </w:tc>
        <w:tc>
          <w:tcPr>
            <w:tcW w:w="4677" w:type="dxa"/>
            <w:vAlign w:val="center"/>
          </w:tcPr>
          <w:p w14:paraId="4401F37C">
            <w:pPr>
              <w:pStyle w:val="2"/>
              <w:jc w:val="both"/>
              <w:rPr>
                <w:rFonts w:hint="eastAsia" w:ascii="仿宋" w:hAnsi="仿宋" w:eastAsia="仿宋"/>
                <w:b w:val="0"/>
                <w:bCs w:val="0"/>
                <w:sz w:val="32"/>
                <w:szCs w:val="32"/>
              </w:rPr>
            </w:pPr>
            <w:r>
              <w:rPr>
                <w:rFonts w:hint="eastAsia" w:ascii="仿宋" w:hAnsi="仿宋" w:eastAsia="仿宋"/>
                <w:b w:val="0"/>
                <w:bCs w:val="0"/>
                <w:sz w:val="32"/>
                <w:szCs w:val="32"/>
              </w:rPr>
              <w:t>用户信息传输装置、无线烟感、室外消火栓压力采集终端、室内地图、AI分析服务器等设备采购。</w:t>
            </w:r>
          </w:p>
        </w:tc>
      </w:tr>
    </w:tbl>
    <w:p w14:paraId="0738372D">
      <w:pPr>
        <w:rPr>
          <w:rFonts w:hint="eastAsia" w:ascii="仿宋" w:hAnsi="仿宋" w:eastAsia="仿宋"/>
          <w:sz w:val="32"/>
          <w:szCs w:val="32"/>
        </w:rPr>
      </w:pPr>
      <w:r>
        <w:rPr>
          <w:rFonts w:hint="eastAsia" w:ascii="仿宋" w:hAnsi="仿宋" w:eastAsia="仿宋"/>
          <w:b/>
          <w:bCs/>
          <w:sz w:val="32"/>
          <w:szCs w:val="32"/>
        </w:rPr>
        <w:t>二、采购清单</w:t>
      </w:r>
    </w:p>
    <w:p w14:paraId="12A97D89">
      <w:pPr>
        <w:rPr>
          <w:rFonts w:hint="eastAsia" w:ascii="仿宋" w:hAnsi="仿宋" w:eastAsia="仿宋"/>
          <w:sz w:val="32"/>
          <w:szCs w:val="32"/>
        </w:rPr>
      </w:pPr>
      <w:r>
        <w:rPr>
          <w:rFonts w:hint="eastAsia" w:ascii="仿宋" w:hAnsi="仿宋" w:eastAsia="仿宋"/>
          <w:sz w:val="32"/>
          <w:szCs w:val="32"/>
        </w:rPr>
        <w:t>货物：</w:t>
      </w:r>
    </w:p>
    <w:tbl>
      <w:tblPr>
        <w:tblStyle w:val="13"/>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9"/>
        <w:gridCol w:w="1820"/>
        <w:gridCol w:w="1984"/>
        <w:gridCol w:w="1056"/>
        <w:gridCol w:w="578"/>
        <w:gridCol w:w="1781"/>
      </w:tblGrid>
      <w:tr w14:paraId="112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vAlign w:val="center"/>
          </w:tcPr>
          <w:p w14:paraId="4C88B48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2149" w:type="dxa"/>
            <w:shd w:val="clear" w:color="auto" w:fill="auto"/>
            <w:vAlign w:val="center"/>
          </w:tcPr>
          <w:p w14:paraId="3382AB7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货物名称</w:t>
            </w:r>
          </w:p>
        </w:tc>
        <w:tc>
          <w:tcPr>
            <w:tcW w:w="1820" w:type="dxa"/>
            <w:shd w:val="clear" w:color="auto" w:fill="auto"/>
            <w:vAlign w:val="center"/>
          </w:tcPr>
          <w:p w14:paraId="36F8907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进口/国产</w:t>
            </w:r>
          </w:p>
        </w:tc>
        <w:tc>
          <w:tcPr>
            <w:tcW w:w="1984" w:type="dxa"/>
            <w:shd w:val="clear" w:color="auto" w:fill="auto"/>
            <w:vAlign w:val="center"/>
          </w:tcPr>
          <w:p w14:paraId="78CB848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单价（人民币/元）</w:t>
            </w:r>
          </w:p>
        </w:tc>
        <w:tc>
          <w:tcPr>
            <w:tcW w:w="1056" w:type="dxa"/>
            <w:shd w:val="clear" w:color="auto" w:fill="auto"/>
            <w:vAlign w:val="center"/>
          </w:tcPr>
          <w:p w14:paraId="32A7A0E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数量</w:t>
            </w:r>
          </w:p>
        </w:tc>
        <w:tc>
          <w:tcPr>
            <w:tcW w:w="578" w:type="dxa"/>
            <w:shd w:val="clear" w:color="auto" w:fill="auto"/>
            <w:vAlign w:val="center"/>
          </w:tcPr>
          <w:p w14:paraId="63D3CB5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单位</w:t>
            </w:r>
          </w:p>
        </w:tc>
        <w:tc>
          <w:tcPr>
            <w:tcW w:w="1781" w:type="dxa"/>
            <w:shd w:val="clear" w:color="auto" w:fill="auto"/>
            <w:vAlign w:val="center"/>
          </w:tcPr>
          <w:p w14:paraId="4F2D1FF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是否为核心产品</w:t>
            </w:r>
          </w:p>
        </w:tc>
      </w:tr>
      <w:tr w14:paraId="113C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214" w:type="dxa"/>
            <w:gridSpan w:val="7"/>
            <w:shd w:val="clear" w:color="auto" w:fill="auto"/>
            <w:vAlign w:val="center"/>
          </w:tcPr>
          <w:p w14:paraId="6793193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报警主机联动</w:t>
            </w:r>
          </w:p>
        </w:tc>
      </w:tr>
      <w:tr w14:paraId="6C6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EC1F2D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2149" w:type="dxa"/>
            <w:shd w:val="clear" w:color="auto" w:fill="auto"/>
            <w:noWrap/>
            <w:vAlign w:val="center"/>
          </w:tcPr>
          <w:p w14:paraId="018DD4D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用户信息传输装置</w:t>
            </w:r>
          </w:p>
        </w:tc>
        <w:tc>
          <w:tcPr>
            <w:tcW w:w="1820" w:type="dxa"/>
            <w:shd w:val="clear" w:color="auto" w:fill="auto"/>
            <w:noWrap/>
            <w:vAlign w:val="center"/>
          </w:tcPr>
          <w:p w14:paraId="392AC81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394B1CF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9800</w:t>
            </w:r>
          </w:p>
        </w:tc>
        <w:tc>
          <w:tcPr>
            <w:tcW w:w="1056" w:type="dxa"/>
            <w:shd w:val="clear" w:color="auto" w:fill="auto"/>
            <w:noWrap/>
            <w:vAlign w:val="center"/>
          </w:tcPr>
          <w:p w14:paraId="11A2B8F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10</w:t>
            </w:r>
          </w:p>
        </w:tc>
        <w:tc>
          <w:tcPr>
            <w:tcW w:w="578" w:type="dxa"/>
            <w:shd w:val="clear" w:color="auto" w:fill="auto"/>
            <w:noWrap/>
            <w:vAlign w:val="center"/>
          </w:tcPr>
          <w:p w14:paraId="2A9E02D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台</w:t>
            </w:r>
          </w:p>
        </w:tc>
        <w:tc>
          <w:tcPr>
            <w:tcW w:w="1781" w:type="dxa"/>
            <w:shd w:val="clear" w:color="auto" w:fill="auto"/>
            <w:noWrap/>
            <w:vAlign w:val="center"/>
          </w:tcPr>
          <w:p w14:paraId="0AE0C82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w:t>
            </w:r>
          </w:p>
        </w:tc>
      </w:tr>
      <w:tr w14:paraId="38E0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6E7FA3D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2149" w:type="dxa"/>
            <w:shd w:val="clear" w:color="auto" w:fill="auto"/>
            <w:vAlign w:val="center"/>
          </w:tcPr>
          <w:p w14:paraId="31BDD1E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电信卡</w:t>
            </w:r>
          </w:p>
        </w:tc>
        <w:tc>
          <w:tcPr>
            <w:tcW w:w="1820" w:type="dxa"/>
            <w:shd w:val="clear" w:color="auto" w:fill="auto"/>
            <w:noWrap/>
            <w:vAlign w:val="center"/>
          </w:tcPr>
          <w:p w14:paraId="5A2AD14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37AA7CE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300</w:t>
            </w:r>
          </w:p>
        </w:tc>
        <w:tc>
          <w:tcPr>
            <w:tcW w:w="1056" w:type="dxa"/>
            <w:shd w:val="clear" w:color="auto" w:fill="auto"/>
            <w:noWrap/>
            <w:vAlign w:val="center"/>
          </w:tcPr>
          <w:p w14:paraId="2285D4E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8</w:t>
            </w:r>
          </w:p>
        </w:tc>
        <w:tc>
          <w:tcPr>
            <w:tcW w:w="578" w:type="dxa"/>
            <w:shd w:val="clear" w:color="auto" w:fill="auto"/>
            <w:noWrap/>
            <w:vAlign w:val="center"/>
          </w:tcPr>
          <w:p w14:paraId="0344690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3年</w:t>
            </w:r>
          </w:p>
        </w:tc>
        <w:tc>
          <w:tcPr>
            <w:tcW w:w="1781" w:type="dxa"/>
            <w:shd w:val="clear" w:color="auto" w:fill="auto"/>
            <w:noWrap/>
            <w:vAlign w:val="center"/>
          </w:tcPr>
          <w:p w14:paraId="727CCD6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1C2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09FD75E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2149" w:type="dxa"/>
            <w:shd w:val="clear" w:color="auto" w:fill="auto"/>
            <w:noWrap/>
            <w:vAlign w:val="center"/>
          </w:tcPr>
          <w:p w14:paraId="5BA1C02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通讯板卡</w:t>
            </w:r>
          </w:p>
        </w:tc>
        <w:tc>
          <w:tcPr>
            <w:tcW w:w="1820" w:type="dxa"/>
            <w:shd w:val="clear" w:color="auto" w:fill="auto"/>
            <w:noWrap/>
            <w:vAlign w:val="center"/>
          </w:tcPr>
          <w:p w14:paraId="6755040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4387C64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2350</w:t>
            </w:r>
          </w:p>
        </w:tc>
        <w:tc>
          <w:tcPr>
            <w:tcW w:w="1056" w:type="dxa"/>
            <w:shd w:val="clear" w:color="auto" w:fill="auto"/>
            <w:noWrap/>
            <w:vAlign w:val="center"/>
          </w:tcPr>
          <w:p w14:paraId="4ACD52F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10</w:t>
            </w:r>
          </w:p>
        </w:tc>
        <w:tc>
          <w:tcPr>
            <w:tcW w:w="578" w:type="dxa"/>
            <w:shd w:val="clear" w:color="auto" w:fill="auto"/>
            <w:noWrap/>
            <w:vAlign w:val="center"/>
          </w:tcPr>
          <w:p w14:paraId="41F41BF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块</w:t>
            </w:r>
          </w:p>
        </w:tc>
        <w:tc>
          <w:tcPr>
            <w:tcW w:w="1781" w:type="dxa"/>
            <w:shd w:val="clear" w:color="auto" w:fill="auto"/>
            <w:noWrap/>
            <w:vAlign w:val="center"/>
          </w:tcPr>
          <w:p w14:paraId="4CE22EA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3B0E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7D8E7B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4</w:t>
            </w:r>
          </w:p>
        </w:tc>
        <w:tc>
          <w:tcPr>
            <w:tcW w:w="2149" w:type="dxa"/>
            <w:shd w:val="clear" w:color="auto" w:fill="auto"/>
            <w:noWrap/>
            <w:vAlign w:val="center"/>
          </w:tcPr>
          <w:p w14:paraId="173D8A7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电源线</w:t>
            </w:r>
          </w:p>
        </w:tc>
        <w:tc>
          <w:tcPr>
            <w:tcW w:w="1820" w:type="dxa"/>
            <w:shd w:val="clear" w:color="auto" w:fill="auto"/>
            <w:noWrap/>
            <w:vAlign w:val="center"/>
          </w:tcPr>
          <w:p w14:paraId="2EF5687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17B5A5C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5.2</w:t>
            </w:r>
          </w:p>
        </w:tc>
        <w:tc>
          <w:tcPr>
            <w:tcW w:w="1056" w:type="dxa"/>
            <w:shd w:val="clear" w:color="auto" w:fill="auto"/>
            <w:noWrap/>
            <w:vAlign w:val="center"/>
          </w:tcPr>
          <w:p w14:paraId="2EA48EA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660</w:t>
            </w:r>
          </w:p>
        </w:tc>
        <w:tc>
          <w:tcPr>
            <w:tcW w:w="578" w:type="dxa"/>
            <w:shd w:val="clear" w:color="auto" w:fill="auto"/>
            <w:noWrap/>
            <w:vAlign w:val="center"/>
          </w:tcPr>
          <w:p w14:paraId="7A0105E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米</w:t>
            </w:r>
          </w:p>
        </w:tc>
        <w:tc>
          <w:tcPr>
            <w:tcW w:w="1781" w:type="dxa"/>
            <w:shd w:val="clear" w:color="auto" w:fill="auto"/>
            <w:noWrap/>
            <w:vAlign w:val="center"/>
          </w:tcPr>
          <w:p w14:paraId="144BCD4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07D2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4E81B4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w:t>
            </w:r>
          </w:p>
        </w:tc>
        <w:tc>
          <w:tcPr>
            <w:tcW w:w="2149" w:type="dxa"/>
            <w:shd w:val="clear" w:color="auto" w:fill="auto"/>
            <w:vAlign w:val="center"/>
          </w:tcPr>
          <w:p w14:paraId="176A532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网线</w:t>
            </w:r>
          </w:p>
        </w:tc>
        <w:tc>
          <w:tcPr>
            <w:tcW w:w="1820" w:type="dxa"/>
            <w:shd w:val="clear" w:color="auto" w:fill="auto"/>
            <w:noWrap/>
            <w:vAlign w:val="center"/>
          </w:tcPr>
          <w:p w14:paraId="6503A32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5797EA2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2.5</w:t>
            </w:r>
          </w:p>
        </w:tc>
        <w:tc>
          <w:tcPr>
            <w:tcW w:w="1056" w:type="dxa"/>
            <w:shd w:val="clear" w:color="auto" w:fill="auto"/>
            <w:noWrap/>
            <w:vAlign w:val="center"/>
          </w:tcPr>
          <w:p w14:paraId="79FF078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660</w:t>
            </w:r>
          </w:p>
        </w:tc>
        <w:tc>
          <w:tcPr>
            <w:tcW w:w="578" w:type="dxa"/>
            <w:shd w:val="clear" w:color="auto" w:fill="auto"/>
            <w:noWrap/>
            <w:vAlign w:val="center"/>
          </w:tcPr>
          <w:p w14:paraId="47D1923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米</w:t>
            </w:r>
          </w:p>
        </w:tc>
        <w:tc>
          <w:tcPr>
            <w:tcW w:w="1781" w:type="dxa"/>
            <w:shd w:val="clear" w:color="auto" w:fill="auto"/>
            <w:noWrap/>
            <w:vAlign w:val="center"/>
          </w:tcPr>
          <w:p w14:paraId="4DE2909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0E67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4" w:type="dxa"/>
            <w:gridSpan w:val="7"/>
            <w:shd w:val="clear" w:color="auto" w:fill="auto"/>
            <w:noWrap/>
            <w:vAlign w:val="center"/>
          </w:tcPr>
          <w:p w14:paraId="31C284A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无线烟感</w:t>
            </w:r>
          </w:p>
        </w:tc>
      </w:tr>
      <w:tr w14:paraId="1F4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F00000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w:t>
            </w:r>
          </w:p>
        </w:tc>
        <w:tc>
          <w:tcPr>
            <w:tcW w:w="2149" w:type="dxa"/>
            <w:shd w:val="clear" w:color="auto" w:fill="auto"/>
            <w:vAlign w:val="center"/>
          </w:tcPr>
          <w:p w14:paraId="7E0DFBB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平台接入授权扩容</w:t>
            </w:r>
          </w:p>
        </w:tc>
        <w:tc>
          <w:tcPr>
            <w:tcW w:w="1820" w:type="dxa"/>
            <w:shd w:val="clear" w:color="auto" w:fill="auto"/>
            <w:noWrap/>
            <w:vAlign w:val="center"/>
          </w:tcPr>
          <w:p w14:paraId="797F4A6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2356ACB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10</w:t>
            </w:r>
          </w:p>
        </w:tc>
        <w:tc>
          <w:tcPr>
            <w:tcW w:w="1056" w:type="dxa"/>
            <w:shd w:val="clear" w:color="auto" w:fill="auto"/>
            <w:noWrap/>
            <w:vAlign w:val="center"/>
          </w:tcPr>
          <w:p w14:paraId="4F2D753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8666</w:t>
            </w:r>
          </w:p>
        </w:tc>
        <w:tc>
          <w:tcPr>
            <w:tcW w:w="578" w:type="dxa"/>
            <w:shd w:val="clear" w:color="auto" w:fill="auto"/>
            <w:noWrap/>
            <w:vAlign w:val="center"/>
          </w:tcPr>
          <w:p w14:paraId="1DF7E0A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49716C2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030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DA6EEC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7</w:t>
            </w:r>
          </w:p>
        </w:tc>
        <w:tc>
          <w:tcPr>
            <w:tcW w:w="2149" w:type="dxa"/>
            <w:shd w:val="clear" w:color="auto" w:fill="auto"/>
            <w:noWrap/>
            <w:vAlign w:val="center"/>
          </w:tcPr>
          <w:p w14:paraId="48242F8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服务器</w:t>
            </w:r>
          </w:p>
        </w:tc>
        <w:tc>
          <w:tcPr>
            <w:tcW w:w="1820" w:type="dxa"/>
            <w:shd w:val="clear" w:color="auto" w:fill="auto"/>
            <w:noWrap/>
            <w:vAlign w:val="center"/>
          </w:tcPr>
          <w:p w14:paraId="2F3F131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21CC788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38000</w:t>
            </w:r>
          </w:p>
        </w:tc>
        <w:tc>
          <w:tcPr>
            <w:tcW w:w="1056" w:type="dxa"/>
            <w:shd w:val="clear" w:color="auto" w:fill="auto"/>
            <w:noWrap/>
            <w:vAlign w:val="center"/>
          </w:tcPr>
          <w:p w14:paraId="3C37BF3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41AF45F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台</w:t>
            </w:r>
          </w:p>
        </w:tc>
        <w:tc>
          <w:tcPr>
            <w:tcW w:w="1781" w:type="dxa"/>
            <w:shd w:val="clear" w:color="auto" w:fill="auto"/>
            <w:noWrap/>
            <w:vAlign w:val="center"/>
          </w:tcPr>
          <w:p w14:paraId="7C1D172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4B6E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47BD2C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8</w:t>
            </w:r>
          </w:p>
        </w:tc>
        <w:tc>
          <w:tcPr>
            <w:tcW w:w="2149" w:type="dxa"/>
            <w:shd w:val="clear" w:color="auto" w:fill="auto"/>
            <w:noWrap/>
            <w:vAlign w:val="center"/>
          </w:tcPr>
          <w:p w14:paraId="0D50F70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用户信息传输装置</w:t>
            </w:r>
          </w:p>
        </w:tc>
        <w:tc>
          <w:tcPr>
            <w:tcW w:w="1820" w:type="dxa"/>
            <w:shd w:val="clear" w:color="auto" w:fill="auto"/>
            <w:noWrap/>
            <w:vAlign w:val="center"/>
          </w:tcPr>
          <w:p w14:paraId="7620B76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6027F22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9800</w:t>
            </w:r>
          </w:p>
        </w:tc>
        <w:tc>
          <w:tcPr>
            <w:tcW w:w="1056" w:type="dxa"/>
            <w:shd w:val="clear" w:color="auto" w:fill="auto"/>
            <w:noWrap/>
            <w:vAlign w:val="center"/>
          </w:tcPr>
          <w:p w14:paraId="7781D45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17</w:t>
            </w:r>
          </w:p>
        </w:tc>
        <w:tc>
          <w:tcPr>
            <w:tcW w:w="578" w:type="dxa"/>
            <w:shd w:val="clear" w:color="auto" w:fill="auto"/>
            <w:noWrap/>
            <w:vAlign w:val="center"/>
          </w:tcPr>
          <w:p w14:paraId="4ABC692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台</w:t>
            </w:r>
          </w:p>
        </w:tc>
        <w:tc>
          <w:tcPr>
            <w:tcW w:w="1781" w:type="dxa"/>
            <w:shd w:val="clear" w:color="auto" w:fill="auto"/>
            <w:noWrap/>
            <w:vAlign w:val="center"/>
          </w:tcPr>
          <w:p w14:paraId="391A926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w:t>
            </w:r>
          </w:p>
        </w:tc>
      </w:tr>
      <w:tr w14:paraId="28A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5D2EF39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9</w:t>
            </w:r>
          </w:p>
        </w:tc>
        <w:tc>
          <w:tcPr>
            <w:tcW w:w="2149" w:type="dxa"/>
            <w:shd w:val="clear" w:color="auto" w:fill="auto"/>
            <w:vAlign w:val="center"/>
          </w:tcPr>
          <w:p w14:paraId="6D4404E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火灾报警控制器</w:t>
            </w:r>
          </w:p>
        </w:tc>
        <w:tc>
          <w:tcPr>
            <w:tcW w:w="1820" w:type="dxa"/>
            <w:shd w:val="clear" w:color="auto" w:fill="auto"/>
            <w:noWrap/>
            <w:vAlign w:val="center"/>
          </w:tcPr>
          <w:p w14:paraId="657D075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088F13A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4860</w:t>
            </w:r>
          </w:p>
        </w:tc>
        <w:tc>
          <w:tcPr>
            <w:tcW w:w="1056" w:type="dxa"/>
            <w:shd w:val="clear" w:color="auto" w:fill="auto"/>
            <w:noWrap/>
            <w:vAlign w:val="center"/>
          </w:tcPr>
          <w:p w14:paraId="73F0F9D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7EAD1AE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51EDBE2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1245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CE173B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10</w:t>
            </w:r>
          </w:p>
        </w:tc>
        <w:tc>
          <w:tcPr>
            <w:tcW w:w="2149" w:type="dxa"/>
            <w:shd w:val="clear" w:color="auto" w:fill="auto"/>
            <w:vAlign w:val="center"/>
          </w:tcPr>
          <w:p w14:paraId="0020704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LoRa无线烟感</w:t>
            </w:r>
          </w:p>
        </w:tc>
        <w:tc>
          <w:tcPr>
            <w:tcW w:w="1820" w:type="dxa"/>
            <w:shd w:val="clear" w:color="auto" w:fill="auto"/>
            <w:noWrap/>
            <w:vAlign w:val="center"/>
          </w:tcPr>
          <w:p w14:paraId="777FE38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0048916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240</w:t>
            </w:r>
          </w:p>
        </w:tc>
        <w:tc>
          <w:tcPr>
            <w:tcW w:w="1056" w:type="dxa"/>
            <w:shd w:val="clear" w:color="auto" w:fill="auto"/>
            <w:noWrap/>
            <w:vAlign w:val="center"/>
          </w:tcPr>
          <w:p w14:paraId="7AFFF3A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7778</w:t>
            </w:r>
          </w:p>
        </w:tc>
        <w:tc>
          <w:tcPr>
            <w:tcW w:w="578" w:type="dxa"/>
            <w:shd w:val="clear" w:color="auto" w:fill="auto"/>
            <w:noWrap/>
            <w:vAlign w:val="center"/>
          </w:tcPr>
          <w:p w14:paraId="48339E4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7F4B994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w:t>
            </w:r>
          </w:p>
        </w:tc>
      </w:tr>
      <w:tr w14:paraId="2BFE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noWrap/>
            <w:vAlign w:val="center"/>
          </w:tcPr>
          <w:p w14:paraId="7E7C8DA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11</w:t>
            </w:r>
          </w:p>
        </w:tc>
        <w:tc>
          <w:tcPr>
            <w:tcW w:w="2149" w:type="dxa"/>
            <w:shd w:val="clear" w:color="auto" w:fill="auto"/>
            <w:vAlign w:val="center"/>
          </w:tcPr>
          <w:p w14:paraId="0B54345D">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独立式火灾探测报警器（1期增补）</w:t>
            </w:r>
          </w:p>
        </w:tc>
        <w:tc>
          <w:tcPr>
            <w:tcW w:w="1820" w:type="dxa"/>
            <w:shd w:val="clear" w:color="auto" w:fill="auto"/>
            <w:noWrap/>
            <w:vAlign w:val="center"/>
          </w:tcPr>
          <w:p w14:paraId="386999D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463FC6F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240</w:t>
            </w:r>
          </w:p>
        </w:tc>
        <w:tc>
          <w:tcPr>
            <w:tcW w:w="1056" w:type="dxa"/>
            <w:shd w:val="clear" w:color="auto" w:fill="auto"/>
            <w:noWrap/>
            <w:vAlign w:val="center"/>
          </w:tcPr>
          <w:p w14:paraId="17BFCC5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175</w:t>
            </w:r>
          </w:p>
        </w:tc>
        <w:tc>
          <w:tcPr>
            <w:tcW w:w="578" w:type="dxa"/>
            <w:shd w:val="clear" w:color="auto" w:fill="auto"/>
            <w:noWrap/>
            <w:vAlign w:val="center"/>
          </w:tcPr>
          <w:p w14:paraId="340FEA3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619854E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5C5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noWrap/>
            <w:vAlign w:val="center"/>
          </w:tcPr>
          <w:p w14:paraId="51F0D41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12</w:t>
            </w:r>
          </w:p>
        </w:tc>
        <w:tc>
          <w:tcPr>
            <w:tcW w:w="2149" w:type="dxa"/>
            <w:shd w:val="clear" w:color="auto" w:fill="auto"/>
            <w:vAlign w:val="center"/>
          </w:tcPr>
          <w:p w14:paraId="1F0577D5">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分体式火灾探测报警器（2期增补）</w:t>
            </w:r>
          </w:p>
        </w:tc>
        <w:tc>
          <w:tcPr>
            <w:tcW w:w="1820" w:type="dxa"/>
            <w:shd w:val="clear" w:color="auto" w:fill="auto"/>
            <w:noWrap/>
            <w:vAlign w:val="center"/>
          </w:tcPr>
          <w:p w14:paraId="2FD2FB6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4C043E4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240</w:t>
            </w:r>
          </w:p>
        </w:tc>
        <w:tc>
          <w:tcPr>
            <w:tcW w:w="1056" w:type="dxa"/>
            <w:shd w:val="clear" w:color="auto" w:fill="auto"/>
            <w:noWrap/>
            <w:vAlign w:val="center"/>
          </w:tcPr>
          <w:p w14:paraId="59D697D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360</w:t>
            </w:r>
          </w:p>
        </w:tc>
        <w:tc>
          <w:tcPr>
            <w:tcW w:w="578" w:type="dxa"/>
            <w:shd w:val="clear" w:color="auto" w:fill="auto"/>
            <w:noWrap/>
            <w:vAlign w:val="center"/>
          </w:tcPr>
          <w:p w14:paraId="188BEFB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4B782CC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065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noWrap/>
            <w:vAlign w:val="center"/>
          </w:tcPr>
          <w:p w14:paraId="3F8383D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13</w:t>
            </w:r>
          </w:p>
        </w:tc>
        <w:tc>
          <w:tcPr>
            <w:tcW w:w="2149" w:type="dxa"/>
            <w:shd w:val="clear" w:color="auto" w:fill="auto"/>
            <w:vAlign w:val="center"/>
          </w:tcPr>
          <w:p w14:paraId="33653EEC">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一体化火灾探测报警器（3期增补）</w:t>
            </w:r>
          </w:p>
        </w:tc>
        <w:tc>
          <w:tcPr>
            <w:tcW w:w="1820" w:type="dxa"/>
            <w:shd w:val="clear" w:color="auto" w:fill="auto"/>
            <w:noWrap/>
            <w:vAlign w:val="center"/>
          </w:tcPr>
          <w:p w14:paraId="4E2BB49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7DBB919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240</w:t>
            </w:r>
          </w:p>
        </w:tc>
        <w:tc>
          <w:tcPr>
            <w:tcW w:w="1056" w:type="dxa"/>
            <w:shd w:val="clear" w:color="auto" w:fill="auto"/>
            <w:noWrap/>
            <w:vAlign w:val="center"/>
          </w:tcPr>
          <w:p w14:paraId="1FCD496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353</w:t>
            </w:r>
          </w:p>
        </w:tc>
        <w:tc>
          <w:tcPr>
            <w:tcW w:w="578" w:type="dxa"/>
            <w:shd w:val="clear" w:color="auto" w:fill="auto"/>
            <w:noWrap/>
            <w:vAlign w:val="center"/>
          </w:tcPr>
          <w:p w14:paraId="21862F3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33CE244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6A0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B11394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14</w:t>
            </w:r>
          </w:p>
        </w:tc>
        <w:tc>
          <w:tcPr>
            <w:tcW w:w="2149" w:type="dxa"/>
            <w:shd w:val="clear" w:color="auto" w:fill="auto"/>
            <w:vAlign w:val="center"/>
          </w:tcPr>
          <w:p w14:paraId="6ECEE00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无线中继器</w:t>
            </w:r>
          </w:p>
        </w:tc>
        <w:tc>
          <w:tcPr>
            <w:tcW w:w="1820" w:type="dxa"/>
            <w:shd w:val="clear" w:color="auto" w:fill="auto"/>
            <w:noWrap/>
            <w:vAlign w:val="center"/>
          </w:tcPr>
          <w:p w14:paraId="1176910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0CA7149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760</w:t>
            </w:r>
          </w:p>
        </w:tc>
        <w:tc>
          <w:tcPr>
            <w:tcW w:w="1056" w:type="dxa"/>
            <w:shd w:val="clear" w:color="auto" w:fill="auto"/>
            <w:noWrap/>
            <w:vAlign w:val="center"/>
          </w:tcPr>
          <w:p w14:paraId="00CC895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207</w:t>
            </w:r>
          </w:p>
        </w:tc>
        <w:tc>
          <w:tcPr>
            <w:tcW w:w="578" w:type="dxa"/>
            <w:shd w:val="clear" w:color="auto" w:fill="auto"/>
            <w:noWrap/>
            <w:vAlign w:val="center"/>
          </w:tcPr>
          <w:p w14:paraId="41BCBA5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0044CA1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w:t>
            </w:r>
          </w:p>
        </w:tc>
      </w:tr>
      <w:tr w14:paraId="17A8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08CCBDA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15</w:t>
            </w:r>
          </w:p>
        </w:tc>
        <w:tc>
          <w:tcPr>
            <w:tcW w:w="2149" w:type="dxa"/>
            <w:shd w:val="clear" w:color="auto" w:fill="auto"/>
            <w:vAlign w:val="center"/>
          </w:tcPr>
          <w:p w14:paraId="31946EC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汇聚交换机</w:t>
            </w:r>
          </w:p>
        </w:tc>
        <w:tc>
          <w:tcPr>
            <w:tcW w:w="1820" w:type="dxa"/>
            <w:shd w:val="clear" w:color="auto" w:fill="auto"/>
            <w:noWrap/>
            <w:vAlign w:val="center"/>
          </w:tcPr>
          <w:p w14:paraId="2669E01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46C5D2F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4680</w:t>
            </w:r>
          </w:p>
        </w:tc>
        <w:tc>
          <w:tcPr>
            <w:tcW w:w="1056" w:type="dxa"/>
            <w:shd w:val="clear" w:color="auto" w:fill="auto"/>
            <w:noWrap/>
            <w:vAlign w:val="center"/>
          </w:tcPr>
          <w:p w14:paraId="2E3BA2C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40DF891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台</w:t>
            </w:r>
          </w:p>
        </w:tc>
        <w:tc>
          <w:tcPr>
            <w:tcW w:w="1781" w:type="dxa"/>
            <w:shd w:val="clear" w:color="auto" w:fill="auto"/>
            <w:noWrap/>
            <w:vAlign w:val="center"/>
          </w:tcPr>
          <w:p w14:paraId="5A9B6CC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6267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27B26D8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16</w:t>
            </w:r>
          </w:p>
        </w:tc>
        <w:tc>
          <w:tcPr>
            <w:tcW w:w="2149" w:type="dxa"/>
            <w:shd w:val="clear" w:color="auto" w:fill="auto"/>
            <w:vAlign w:val="center"/>
          </w:tcPr>
          <w:p w14:paraId="0320795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电源线</w:t>
            </w:r>
          </w:p>
        </w:tc>
        <w:tc>
          <w:tcPr>
            <w:tcW w:w="1820" w:type="dxa"/>
            <w:shd w:val="clear" w:color="auto" w:fill="auto"/>
            <w:noWrap/>
            <w:vAlign w:val="center"/>
          </w:tcPr>
          <w:p w14:paraId="0FDC836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19AAF7F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5.2</w:t>
            </w:r>
          </w:p>
        </w:tc>
        <w:tc>
          <w:tcPr>
            <w:tcW w:w="1056" w:type="dxa"/>
            <w:shd w:val="clear" w:color="auto" w:fill="auto"/>
            <w:noWrap/>
            <w:vAlign w:val="center"/>
          </w:tcPr>
          <w:p w14:paraId="4EF7A9E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9080</w:t>
            </w:r>
          </w:p>
        </w:tc>
        <w:tc>
          <w:tcPr>
            <w:tcW w:w="578" w:type="dxa"/>
            <w:shd w:val="clear" w:color="auto" w:fill="auto"/>
            <w:noWrap/>
            <w:vAlign w:val="center"/>
          </w:tcPr>
          <w:p w14:paraId="0E3CECD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米</w:t>
            </w:r>
          </w:p>
        </w:tc>
        <w:tc>
          <w:tcPr>
            <w:tcW w:w="1781" w:type="dxa"/>
            <w:shd w:val="clear" w:color="auto" w:fill="auto"/>
            <w:noWrap/>
            <w:vAlign w:val="center"/>
          </w:tcPr>
          <w:p w14:paraId="5256AE4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5D7F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D3CF22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17</w:t>
            </w:r>
          </w:p>
        </w:tc>
        <w:tc>
          <w:tcPr>
            <w:tcW w:w="2149" w:type="dxa"/>
            <w:shd w:val="clear" w:color="auto" w:fill="auto"/>
            <w:vAlign w:val="center"/>
          </w:tcPr>
          <w:p w14:paraId="6621CB8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网线</w:t>
            </w:r>
          </w:p>
        </w:tc>
        <w:tc>
          <w:tcPr>
            <w:tcW w:w="1820" w:type="dxa"/>
            <w:shd w:val="clear" w:color="auto" w:fill="auto"/>
            <w:noWrap/>
            <w:vAlign w:val="center"/>
          </w:tcPr>
          <w:p w14:paraId="398AF22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2279C89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2.5</w:t>
            </w:r>
          </w:p>
        </w:tc>
        <w:tc>
          <w:tcPr>
            <w:tcW w:w="1056" w:type="dxa"/>
            <w:shd w:val="clear" w:color="auto" w:fill="auto"/>
            <w:noWrap/>
            <w:vAlign w:val="center"/>
          </w:tcPr>
          <w:p w14:paraId="3512438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2560</w:t>
            </w:r>
          </w:p>
        </w:tc>
        <w:tc>
          <w:tcPr>
            <w:tcW w:w="578" w:type="dxa"/>
            <w:shd w:val="clear" w:color="auto" w:fill="auto"/>
            <w:noWrap/>
            <w:vAlign w:val="center"/>
          </w:tcPr>
          <w:p w14:paraId="18B605C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米</w:t>
            </w:r>
          </w:p>
        </w:tc>
        <w:tc>
          <w:tcPr>
            <w:tcW w:w="1781" w:type="dxa"/>
            <w:shd w:val="clear" w:color="auto" w:fill="auto"/>
            <w:noWrap/>
            <w:vAlign w:val="center"/>
          </w:tcPr>
          <w:p w14:paraId="1A08C52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1699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4" w:type="dxa"/>
            <w:gridSpan w:val="7"/>
            <w:shd w:val="clear" w:color="auto" w:fill="auto"/>
            <w:noWrap/>
            <w:vAlign w:val="center"/>
          </w:tcPr>
          <w:p w14:paraId="0792678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地图</w:t>
            </w:r>
          </w:p>
        </w:tc>
      </w:tr>
      <w:tr w14:paraId="058E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12A39F1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18</w:t>
            </w:r>
          </w:p>
        </w:tc>
        <w:tc>
          <w:tcPr>
            <w:tcW w:w="2149" w:type="dxa"/>
            <w:shd w:val="clear" w:color="auto" w:fill="auto"/>
            <w:vAlign w:val="center"/>
          </w:tcPr>
          <w:p w14:paraId="2A19EE9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室内地图数据引擎</w:t>
            </w:r>
          </w:p>
        </w:tc>
        <w:tc>
          <w:tcPr>
            <w:tcW w:w="1820" w:type="dxa"/>
            <w:shd w:val="clear" w:color="auto" w:fill="auto"/>
            <w:noWrap/>
            <w:vAlign w:val="center"/>
          </w:tcPr>
          <w:p w14:paraId="3FE2350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6418124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59830</w:t>
            </w:r>
          </w:p>
        </w:tc>
        <w:tc>
          <w:tcPr>
            <w:tcW w:w="1056" w:type="dxa"/>
            <w:shd w:val="clear" w:color="auto" w:fill="auto"/>
            <w:noWrap/>
            <w:vAlign w:val="center"/>
          </w:tcPr>
          <w:p w14:paraId="0A82CA8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56A0332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项</w:t>
            </w:r>
          </w:p>
        </w:tc>
        <w:tc>
          <w:tcPr>
            <w:tcW w:w="1781" w:type="dxa"/>
            <w:shd w:val="clear" w:color="auto" w:fill="auto"/>
            <w:noWrap/>
            <w:vAlign w:val="center"/>
          </w:tcPr>
          <w:p w14:paraId="5AD702A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7CB8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52FAE6B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19</w:t>
            </w:r>
          </w:p>
        </w:tc>
        <w:tc>
          <w:tcPr>
            <w:tcW w:w="2149" w:type="dxa"/>
            <w:shd w:val="clear" w:color="auto" w:fill="auto"/>
            <w:vAlign w:val="center"/>
          </w:tcPr>
          <w:p w14:paraId="7E71C5A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学生宿舍3D地图制作</w:t>
            </w:r>
          </w:p>
        </w:tc>
        <w:tc>
          <w:tcPr>
            <w:tcW w:w="1820" w:type="dxa"/>
            <w:shd w:val="clear" w:color="auto" w:fill="auto"/>
            <w:noWrap/>
            <w:vAlign w:val="center"/>
          </w:tcPr>
          <w:p w14:paraId="6DB7B8C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3C39B8D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0.75</w:t>
            </w:r>
          </w:p>
        </w:tc>
        <w:tc>
          <w:tcPr>
            <w:tcW w:w="1056" w:type="dxa"/>
            <w:shd w:val="clear" w:color="auto" w:fill="auto"/>
            <w:noWrap/>
            <w:vAlign w:val="center"/>
          </w:tcPr>
          <w:p w14:paraId="0D74C94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392292</w:t>
            </w:r>
          </w:p>
        </w:tc>
        <w:tc>
          <w:tcPr>
            <w:tcW w:w="578" w:type="dxa"/>
            <w:shd w:val="clear" w:color="auto" w:fill="auto"/>
            <w:noWrap/>
            <w:vAlign w:val="center"/>
          </w:tcPr>
          <w:p w14:paraId="545A72F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781" w:type="dxa"/>
            <w:shd w:val="clear" w:color="auto" w:fill="auto"/>
            <w:noWrap/>
            <w:vAlign w:val="center"/>
          </w:tcPr>
          <w:p w14:paraId="2CF98D8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381B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noWrap/>
            <w:vAlign w:val="center"/>
          </w:tcPr>
          <w:p w14:paraId="4438DE6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20</w:t>
            </w:r>
          </w:p>
        </w:tc>
        <w:tc>
          <w:tcPr>
            <w:tcW w:w="2149" w:type="dxa"/>
            <w:shd w:val="clear" w:color="auto" w:fill="auto"/>
            <w:vAlign w:val="center"/>
          </w:tcPr>
          <w:p w14:paraId="54B84EE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学生宿舍地图基础数据</w:t>
            </w:r>
          </w:p>
        </w:tc>
        <w:tc>
          <w:tcPr>
            <w:tcW w:w="1820" w:type="dxa"/>
            <w:shd w:val="clear" w:color="auto" w:fill="auto"/>
            <w:noWrap/>
            <w:vAlign w:val="center"/>
          </w:tcPr>
          <w:p w14:paraId="3DB81D6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vAlign w:val="center"/>
          </w:tcPr>
          <w:p w14:paraId="5B4CF3A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0.25</w:t>
            </w:r>
          </w:p>
        </w:tc>
        <w:tc>
          <w:tcPr>
            <w:tcW w:w="1056" w:type="dxa"/>
            <w:shd w:val="clear" w:color="auto" w:fill="auto"/>
            <w:noWrap/>
            <w:vAlign w:val="center"/>
          </w:tcPr>
          <w:p w14:paraId="322D05F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392292</w:t>
            </w:r>
          </w:p>
        </w:tc>
        <w:tc>
          <w:tcPr>
            <w:tcW w:w="578" w:type="dxa"/>
            <w:shd w:val="clear" w:color="auto" w:fill="auto"/>
            <w:noWrap/>
            <w:vAlign w:val="center"/>
          </w:tcPr>
          <w:p w14:paraId="044AD7E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781" w:type="dxa"/>
            <w:shd w:val="clear" w:color="auto" w:fill="auto"/>
            <w:noWrap/>
            <w:vAlign w:val="center"/>
          </w:tcPr>
          <w:p w14:paraId="464AA15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4399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4" w:type="dxa"/>
            <w:gridSpan w:val="7"/>
            <w:shd w:val="clear" w:color="auto" w:fill="auto"/>
            <w:noWrap/>
            <w:vAlign w:val="center"/>
          </w:tcPr>
          <w:p w14:paraId="1AE7A46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室外消火栓</w:t>
            </w:r>
          </w:p>
        </w:tc>
      </w:tr>
      <w:tr w14:paraId="450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noWrap/>
            <w:vAlign w:val="center"/>
          </w:tcPr>
          <w:p w14:paraId="046F0E8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21</w:t>
            </w:r>
          </w:p>
        </w:tc>
        <w:tc>
          <w:tcPr>
            <w:tcW w:w="2149" w:type="dxa"/>
            <w:shd w:val="clear" w:color="auto" w:fill="auto"/>
            <w:vAlign w:val="center"/>
          </w:tcPr>
          <w:p w14:paraId="338D09C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室外消火栓压力采集终端(含三年流量费)</w:t>
            </w:r>
          </w:p>
        </w:tc>
        <w:tc>
          <w:tcPr>
            <w:tcW w:w="1820" w:type="dxa"/>
            <w:shd w:val="clear" w:color="auto" w:fill="auto"/>
            <w:noWrap/>
            <w:vAlign w:val="center"/>
          </w:tcPr>
          <w:p w14:paraId="44BC6AE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0B5F3EA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3555</w:t>
            </w:r>
          </w:p>
        </w:tc>
        <w:tc>
          <w:tcPr>
            <w:tcW w:w="1056" w:type="dxa"/>
            <w:shd w:val="clear" w:color="auto" w:fill="auto"/>
            <w:noWrap/>
            <w:vAlign w:val="center"/>
          </w:tcPr>
          <w:p w14:paraId="5FF3286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61</w:t>
            </w:r>
          </w:p>
        </w:tc>
        <w:tc>
          <w:tcPr>
            <w:tcW w:w="578" w:type="dxa"/>
            <w:shd w:val="clear" w:color="auto" w:fill="auto"/>
            <w:noWrap/>
            <w:vAlign w:val="center"/>
          </w:tcPr>
          <w:p w14:paraId="0E61661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个</w:t>
            </w:r>
          </w:p>
        </w:tc>
        <w:tc>
          <w:tcPr>
            <w:tcW w:w="1781" w:type="dxa"/>
            <w:shd w:val="clear" w:color="auto" w:fill="auto"/>
            <w:noWrap/>
            <w:vAlign w:val="center"/>
          </w:tcPr>
          <w:p w14:paraId="49971B9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r w14:paraId="2C2E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4" w:type="dxa"/>
            <w:gridSpan w:val="7"/>
            <w:shd w:val="clear" w:color="auto" w:fill="auto"/>
            <w:noWrap/>
            <w:vAlign w:val="center"/>
          </w:tcPr>
          <w:p w14:paraId="2EAFDFE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视频AI分析</w:t>
            </w:r>
          </w:p>
        </w:tc>
      </w:tr>
      <w:tr w14:paraId="4DE2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15396AE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22</w:t>
            </w:r>
          </w:p>
        </w:tc>
        <w:tc>
          <w:tcPr>
            <w:tcW w:w="2149" w:type="dxa"/>
            <w:shd w:val="clear" w:color="auto" w:fill="auto"/>
            <w:noWrap/>
            <w:vAlign w:val="center"/>
          </w:tcPr>
          <w:p w14:paraId="56C6BAD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AI分析服务器</w:t>
            </w:r>
          </w:p>
        </w:tc>
        <w:tc>
          <w:tcPr>
            <w:tcW w:w="1820" w:type="dxa"/>
            <w:shd w:val="clear" w:color="auto" w:fill="auto"/>
            <w:noWrap/>
            <w:vAlign w:val="center"/>
          </w:tcPr>
          <w:p w14:paraId="20F9C5C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29256C0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62000</w:t>
            </w:r>
          </w:p>
        </w:tc>
        <w:tc>
          <w:tcPr>
            <w:tcW w:w="1056" w:type="dxa"/>
            <w:shd w:val="clear" w:color="auto" w:fill="auto"/>
            <w:noWrap/>
            <w:vAlign w:val="center"/>
          </w:tcPr>
          <w:p w14:paraId="1BAE821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10C0962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台</w:t>
            </w:r>
          </w:p>
        </w:tc>
        <w:tc>
          <w:tcPr>
            <w:tcW w:w="1781" w:type="dxa"/>
            <w:shd w:val="clear" w:color="auto" w:fill="auto"/>
            <w:noWrap/>
            <w:vAlign w:val="center"/>
          </w:tcPr>
          <w:p w14:paraId="474C1C3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w:t>
            </w:r>
          </w:p>
        </w:tc>
      </w:tr>
      <w:tr w14:paraId="458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4" w:type="dxa"/>
            <w:gridSpan w:val="7"/>
            <w:shd w:val="clear" w:color="auto" w:fill="auto"/>
            <w:noWrap/>
            <w:vAlign w:val="center"/>
          </w:tcPr>
          <w:p w14:paraId="06E620E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省级平台对接开发</w:t>
            </w:r>
          </w:p>
        </w:tc>
      </w:tr>
      <w:tr w14:paraId="14B0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730890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23</w:t>
            </w:r>
          </w:p>
        </w:tc>
        <w:tc>
          <w:tcPr>
            <w:tcW w:w="2149" w:type="dxa"/>
            <w:shd w:val="clear" w:color="auto" w:fill="auto"/>
            <w:noWrap/>
            <w:vAlign w:val="center"/>
          </w:tcPr>
          <w:p w14:paraId="2C06D44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省级平台对接开发</w:t>
            </w:r>
          </w:p>
        </w:tc>
        <w:tc>
          <w:tcPr>
            <w:tcW w:w="1820" w:type="dxa"/>
            <w:shd w:val="clear" w:color="auto" w:fill="auto"/>
            <w:noWrap/>
            <w:vAlign w:val="center"/>
          </w:tcPr>
          <w:p w14:paraId="1D095FE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0BB049A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23000</w:t>
            </w:r>
          </w:p>
        </w:tc>
        <w:tc>
          <w:tcPr>
            <w:tcW w:w="1056" w:type="dxa"/>
            <w:shd w:val="clear" w:color="auto" w:fill="auto"/>
            <w:noWrap/>
            <w:vAlign w:val="center"/>
          </w:tcPr>
          <w:p w14:paraId="050567E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578" w:type="dxa"/>
            <w:shd w:val="clear" w:color="auto" w:fill="auto"/>
            <w:noWrap/>
            <w:vAlign w:val="center"/>
          </w:tcPr>
          <w:p w14:paraId="3B6ED3A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项</w:t>
            </w:r>
          </w:p>
        </w:tc>
        <w:tc>
          <w:tcPr>
            <w:tcW w:w="1781" w:type="dxa"/>
            <w:shd w:val="clear" w:color="auto" w:fill="auto"/>
            <w:noWrap/>
            <w:vAlign w:val="center"/>
          </w:tcPr>
          <w:p w14:paraId="25BB120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否</w:t>
            </w:r>
          </w:p>
        </w:tc>
      </w:tr>
    </w:tbl>
    <w:p w14:paraId="7791F1A1"/>
    <w:p w14:paraId="34EFB256">
      <w:pPr>
        <w:rPr>
          <w:rFonts w:hint="eastAsia" w:ascii="仿宋" w:hAnsi="仿宋" w:eastAsia="仿宋"/>
          <w:sz w:val="32"/>
          <w:szCs w:val="32"/>
        </w:rPr>
      </w:pPr>
      <w:r>
        <w:rPr>
          <w:rFonts w:hint="eastAsia" w:ascii="仿宋" w:hAnsi="仿宋" w:eastAsia="仿宋"/>
          <w:b/>
          <w:bCs/>
          <w:sz w:val="32"/>
          <w:szCs w:val="32"/>
        </w:rPr>
        <w:t>三、技术/服务标准与要求</w:t>
      </w:r>
    </w:p>
    <w:p w14:paraId="6A996907">
      <w:pPr>
        <w:rPr>
          <w:rFonts w:hint="eastAsia" w:ascii="仿宋" w:hAnsi="仿宋" w:eastAsia="仿宋"/>
          <w:sz w:val="32"/>
          <w:szCs w:val="32"/>
        </w:rPr>
      </w:pPr>
      <w:r>
        <w:rPr>
          <w:rFonts w:hint="eastAsia" w:ascii="仿宋" w:hAnsi="仿宋" w:eastAsia="仿宋"/>
          <w:b/>
          <w:bCs/>
          <w:sz w:val="32"/>
          <w:szCs w:val="32"/>
        </w:rPr>
        <w:t>南昌大学保卫处智慧消防（五期）建设采购项目</w:t>
      </w:r>
    </w:p>
    <w:tbl>
      <w:tblPr>
        <w:tblStyle w:val="1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2160"/>
        <w:gridCol w:w="5778"/>
      </w:tblGrid>
      <w:tr w14:paraId="203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88" w:type="dxa"/>
            <w:shd w:val="clear" w:color="auto" w:fill="auto"/>
            <w:vAlign w:val="center"/>
          </w:tcPr>
          <w:p w14:paraId="15199ED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1417" w:type="dxa"/>
            <w:shd w:val="clear" w:color="auto" w:fill="auto"/>
            <w:vAlign w:val="center"/>
          </w:tcPr>
          <w:p w14:paraId="12F012D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重要性</w:t>
            </w:r>
          </w:p>
        </w:tc>
        <w:tc>
          <w:tcPr>
            <w:tcW w:w="2160" w:type="dxa"/>
            <w:shd w:val="clear" w:color="auto" w:fill="auto"/>
            <w:vAlign w:val="center"/>
          </w:tcPr>
          <w:p w14:paraId="1F0EE54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指标项</w:t>
            </w:r>
          </w:p>
        </w:tc>
        <w:tc>
          <w:tcPr>
            <w:tcW w:w="5778" w:type="dxa"/>
            <w:shd w:val="clear" w:color="auto" w:fill="auto"/>
            <w:vAlign w:val="center"/>
          </w:tcPr>
          <w:p w14:paraId="197E5FE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指标要求</w:t>
            </w:r>
          </w:p>
        </w:tc>
      </w:tr>
      <w:tr w14:paraId="4B4D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343" w:type="dxa"/>
            <w:gridSpan w:val="4"/>
            <w:shd w:val="clear" w:color="auto" w:fill="auto"/>
            <w:vAlign w:val="center"/>
          </w:tcPr>
          <w:p w14:paraId="1B0288F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报警主机联动</w:t>
            </w:r>
          </w:p>
        </w:tc>
      </w:tr>
      <w:tr w14:paraId="28FD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07EFDE2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1417" w:type="dxa"/>
            <w:shd w:val="clear" w:color="auto" w:fill="auto"/>
            <w:noWrap/>
            <w:vAlign w:val="center"/>
          </w:tcPr>
          <w:p w14:paraId="1829EA51">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1B0ED3B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用户信息传输装置</w:t>
            </w:r>
          </w:p>
        </w:tc>
        <w:tc>
          <w:tcPr>
            <w:tcW w:w="5778" w:type="dxa"/>
            <w:shd w:val="clear" w:color="auto" w:fill="auto"/>
            <w:noWrap/>
            <w:vAlign w:val="center"/>
          </w:tcPr>
          <w:p w14:paraId="36884F98">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1、电源：AC220V(187V~242V),50Hz；</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2、最大功率：24W；</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3、与火灾报警主机连接通信方式：RS485；</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4、与火灾报警主机连接通信波特率：9600B/S；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5、与消防信息服务器（RTU）连接通信方式：RS485；</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6、与消防信息服务器（RTU）;连接通信波特率：9600B/S；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7、与监控中心连接通信方式：GPRS无线和有线网络（TCP/IP）；</w:t>
            </w:r>
          </w:p>
          <w:p w14:paraId="26624C44">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8、具有查岗功能；</w:t>
            </w:r>
          </w:p>
          <w:p w14:paraId="2414A293">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9、具有液晶显示屏，能够显示报警、故障等信息；</w:t>
            </w:r>
          </w:p>
          <w:p w14:paraId="46AD9B06">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10、具有外接设备拓展口；</w:t>
            </w:r>
          </w:p>
          <w:p w14:paraId="0D2102CF">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11、具有历史记录功能；</w:t>
            </w:r>
          </w:p>
          <w:p w14:paraId="46757991">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12、具有链路通信冗余机制；</w:t>
            </w:r>
          </w:p>
          <w:p w14:paraId="23C59CA0">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13、支持网关功能；</w:t>
            </w:r>
          </w:p>
          <w:p w14:paraId="6F165DA5">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14、支持与其它消防设备通信；</w:t>
            </w:r>
          </w:p>
          <w:p w14:paraId="481373A2">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15、符合GB50440-2007技术规范；</w:t>
            </w:r>
          </w:p>
          <w:p w14:paraId="22DD9084">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16、能够兼容对接现有智慧消防平台。</w:t>
            </w:r>
          </w:p>
        </w:tc>
      </w:tr>
      <w:tr w14:paraId="5E5D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2DBF521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1417" w:type="dxa"/>
            <w:shd w:val="clear" w:color="auto" w:fill="auto"/>
            <w:noWrap/>
          </w:tcPr>
          <w:p w14:paraId="1FBE47D4">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61D65E5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电信卡</w:t>
            </w:r>
          </w:p>
        </w:tc>
        <w:tc>
          <w:tcPr>
            <w:tcW w:w="5778" w:type="dxa"/>
            <w:shd w:val="clear" w:color="auto" w:fill="auto"/>
            <w:noWrap/>
            <w:vAlign w:val="center"/>
          </w:tcPr>
          <w:p w14:paraId="77ED1C25">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4G流量卡</w:t>
            </w:r>
          </w:p>
        </w:tc>
      </w:tr>
      <w:tr w14:paraId="6AE7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49A925B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1417" w:type="dxa"/>
            <w:shd w:val="clear" w:color="auto" w:fill="auto"/>
            <w:noWrap/>
          </w:tcPr>
          <w:p w14:paraId="79192888">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5534F30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通讯板卡</w:t>
            </w:r>
          </w:p>
        </w:tc>
        <w:tc>
          <w:tcPr>
            <w:tcW w:w="5778" w:type="dxa"/>
            <w:shd w:val="clear" w:color="auto" w:fill="auto"/>
            <w:noWrap/>
            <w:vAlign w:val="center"/>
          </w:tcPr>
          <w:p w14:paraId="6B5D071F">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原有传统报警主机加装报警通讯板卡，按需配置</w:t>
            </w:r>
          </w:p>
        </w:tc>
      </w:tr>
      <w:tr w14:paraId="6576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40218F1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4</w:t>
            </w:r>
          </w:p>
        </w:tc>
        <w:tc>
          <w:tcPr>
            <w:tcW w:w="1417" w:type="dxa"/>
            <w:shd w:val="clear" w:color="auto" w:fill="auto"/>
            <w:noWrap/>
          </w:tcPr>
          <w:p w14:paraId="627B1BD4">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27E76FE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电源线</w:t>
            </w:r>
          </w:p>
        </w:tc>
        <w:tc>
          <w:tcPr>
            <w:tcW w:w="5778" w:type="dxa"/>
            <w:shd w:val="clear" w:color="auto" w:fill="auto"/>
            <w:noWrap/>
            <w:vAlign w:val="center"/>
          </w:tcPr>
          <w:p w14:paraId="74BBD8BC">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阻燃RVV2*1.5</w:t>
            </w:r>
          </w:p>
        </w:tc>
      </w:tr>
      <w:tr w14:paraId="75FA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1412EE5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w:t>
            </w:r>
          </w:p>
        </w:tc>
        <w:tc>
          <w:tcPr>
            <w:tcW w:w="1417" w:type="dxa"/>
            <w:shd w:val="clear" w:color="auto" w:fill="auto"/>
            <w:noWrap/>
          </w:tcPr>
          <w:p w14:paraId="354ED274">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2BEC8B3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网线</w:t>
            </w:r>
          </w:p>
        </w:tc>
        <w:tc>
          <w:tcPr>
            <w:tcW w:w="5778" w:type="dxa"/>
            <w:shd w:val="clear" w:color="auto" w:fill="auto"/>
            <w:noWrap/>
            <w:vAlign w:val="center"/>
          </w:tcPr>
          <w:p w14:paraId="2CA5F6CE">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阻燃超五类网线</w:t>
            </w:r>
          </w:p>
        </w:tc>
      </w:tr>
      <w:tr w14:paraId="3B30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43" w:type="dxa"/>
            <w:gridSpan w:val="4"/>
            <w:shd w:val="clear" w:color="auto" w:fill="auto"/>
            <w:noWrap/>
            <w:vAlign w:val="center"/>
          </w:tcPr>
          <w:p w14:paraId="1336DFB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无线烟感</w:t>
            </w:r>
          </w:p>
        </w:tc>
      </w:tr>
      <w:tr w14:paraId="1018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514E5D9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6</w:t>
            </w:r>
          </w:p>
        </w:tc>
        <w:tc>
          <w:tcPr>
            <w:tcW w:w="1417" w:type="dxa"/>
            <w:shd w:val="clear" w:color="auto" w:fill="auto"/>
            <w:noWrap/>
          </w:tcPr>
          <w:p w14:paraId="46686C5A">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2F11890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平台接入授权扩容</w:t>
            </w:r>
          </w:p>
        </w:tc>
        <w:tc>
          <w:tcPr>
            <w:tcW w:w="5778" w:type="dxa"/>
            <w:shd w:val="clear" w:color="auto" w:fill="auto"/>
            <w:noWrap/>
            <w:vAlign w:val="center"/>
          </w:tcPr>
          <w:p w14:paraId="4EC253DD">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烟感接入平台管理授权</w:t>
            </w:r>
          </w:p>
        </w:tc>
      </w:tr>
      <w:tr w14:paraId="1B52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0C0F568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7</w:t>
            </w:r>
          </w:p>
        </w:tc>
        <w:tc>
          <w:tcPr>
            <w:tcW w:w="1417" w:type="dxa"/>
            <w:shd w:val="clear" w:color="auto" w:fill="auto"/>
            <w:noWrap/>
            <w:vAlign w:val="center"/>
          </w:tcPr>
          <w:p w14:paraId="437737AF">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4FA008B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服务器</w:t>
            </w:r>
          </w:p>
        </w:tc>
        <w:tc>
          <w:tcPr>
            <w:tcW w:w="5778" w:type="dxa"/>
            <w:shd w:val="clear" w:color="auto" w:fill="auto"/>
            <w:noWrap/>
            <w:vAlign w:val="center"/>
          </w:tcPr>
          <w:p w14:paraId="497B5402">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 xml:space="preserve">1.规格：2U标准机式，国产自研品牌，非OEM贴牌，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2.处理器：2颗Intel Xeon 4314(16C,135W,2.4GHz)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3.内存：配置32GB DDR4-3200MHz*2根支持高级内存纠错（ECC）、内存镜像、内存等级保护等高级功能，最大支持2TB内存容量，支持3200MT/s工作频率；最大支持16个内存插槽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4.本地存储：配置2块4TB_HDD_7.2K_SATA, 最大可支持29块2.5寸硬盘或16个3.5寸硬盘，支持2个内置SD存储器,支持2个后置基于SATA总线的M.2 SSD硬盘或2个后置短RSSD存储模块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5.RAID：高性能RAID功能，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6.网络接口：双口千兆网卡；支持OCP3.0网络模块(支持1Gb/10GB/25Gb/100Gb速率)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7.电源模块：单电功率550W , 1+1冗余电源，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8.I/O扩展配置：最大支持5个标准PCIE插槽加1个OCP3.0卡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9.标准接口：前置1个USB3.0接口，1个USB2.0接口，1个VGA接口 后置2个USB3.0接口，1个VGA接口， 1个UART串口，1个管理口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10.系统管理：板载BMC管理模块，提供1个千兆管理网口，专门用于IPMI的远程管理，支持BMC Flash芯片冗余，带外管理软件达到EAL4 级的安全标准. </w:t>
            </w:r>
          </w:p>
        </w:tc>
      </w:tr>
      <w:tr w14:paraId="2CDC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4E46844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8</w:t>
            </w:r>
          </w:p>
        </w:tc>
        <w:tc>
          <w:tcPr>
            <w:tcW w:w="1417" w:type="dxa"/>
            <w:shd w:val="clear" w:color="auto" w:fill="auto"/>
            <w:noWrap/>
            <w:vAlign w:val="center"/>
          </w:tcPr>
          <w:p w14:paraId="024CC933">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56CF483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用户信息传输装置</w:t>
            </w:r>
          </w:p>
        </w:tc>
        <w:tc>
          <w:tcPr>
            <w:tcW w:w="5778" w:type="dxa"/>
            <w:shd w:val="clear" w:color="auto" w:fill="auto"/>
            <w:noWrap/>
            <w:vAlign w:val="center"/>
          </w:tcPr>
          <w:p w14:paraId="449AEB18">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1、电源：AC220V(187V~242V),50Hz；</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2、最大功率：24W；</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3、与火灾报警主机连接通信方式：RS485；</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4、与火灾报警主机连接通信波特率：9600B/S；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5、与消防信息服务器（RTU）连接通信方式：RS485；</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6、与消防信息服务器（RTU）;连接通信波特率：9600B/S；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7、与监控中心连接通信方式：GPRS无线和有线网络（TCP/IP）；</w:t>
            </w:r>
          </w:p>
          <w:p w14:paraId="0639C965">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8、具有查岗功能；</w:t>
            </w:r>
          </w:p>
          <w:p w14:paraId="71EFDAB7">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9、具有液晶显示屏，能够显示报警、故障等信息；</w:t>
            </w:r>
          </w:p>
          <w:p w14:paraId="19A69312">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10、具有外接设备拓展口；</w:t>
            </w:r>
          </w:p>
          <w:p w14:paraId="2664E54B">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11、具有历史记录功能；</w:t>
            </w:r>
          </w:p>
          <w:p w14:paraId="07BD3A3A">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12、具有链路通信冗余机制；</w:t>
            </w:r>
          </w:p>
          <w:p w14:paraId="016F7D98">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13、支持网关功能；</w:t>
            </w:r>
          </w:p>
          <w:p w14:paraId="2D31DE60">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14、支持与其它消防设备通信；</w:t>
            </w:r>
          </w:p>
          <w:p w14:paraId="6D2CDE84">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15、符合GB50440-2007技术规范；</w:t>
            </w:r>
          </w:p>
          <w:p w14:paraId="691384DC">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16、能够兼容对接现有智慧消防平台。</w:t>
            </w:r>
          </w:p>
        </w:tc>
      </w:tr>
      <w:tr w14:paraId="3AD2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2E9584C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9</w:t>
            </w:r>
          </w:p>
        </w:tc>
        <w:tc>
          <w:tcPr>
            <w:tcW w:w="1417" w:type="dxa"/>
            <w:shd w:val="clear" w:color="auto" w:fill="auto"/>
            <w:noWrap/>
            <w:vAlign w:val="center"/>
          </w:tcPr>
          <w:p w14:paraId="391296BD">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192D941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火灾报警控制器</w:t>
            </w:r>
          </w:p>
        </w:tc>
        <w:tc>
          <w:tcPr>
            <w:tcW w:w="5778" w:type="dxa"/>
            <w:shd w:val="clear" w:color="auto" w:fill="auto"/>
            <w:noWrap/>
            <w:vAlign w:val="center"/>
          </w:tcPr>
          <w:p w14:paraId="608A040B">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1、手动直接控制输出数量：3组。</w:t>
            </w:r>
          </w:p>
          <w:p w14:paraId="29CA1661">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2、电池：单节容量：12V 3.0Ah 电池节数：2节。</w:t>
            </w:r>
          </w:p>
          <w:p w14:paraId="48C94ECB">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3、具有屏蔽功能，能屏蔽部位、回路和火灾声光报警器。</w:t>
            </w:r>
          </w:p>
          <w:p w14:paraId="6DE0AD7E">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4、支持不少于</w:t>
            </w:r>
            <w:r>
              <w:rPr>
                <w:rFonts w:ascii="仿宋" w:hAnsi="仿宋" w:eastAsia="仿宋"/>
                <w:color w:val="212121"/>
                <w:sz w:val="28"/>
                <w:szCs w:val="28"/>
              </w:rPr>
              <w:t>10</w:t>
            </w:r>
            <w:r>
              <w:rPr>
                <w:rFonts w:hint="eastAsia" w:ascii="仿宋" w:hAnsi="仿宋" w:eastAsia="仿宋"/>
                <w:color w:val="212121"/>
                <w:sz w:val="28"/>
                <w:szCs w:val="28"/>
              </w:rPr>
              <w:t>级中继网络拓扑结构，级联的空旷通讯距离不少于</w:t>
            </w:r>
            <w:r>
              <w:rPr>
                <w:rFonts w:ascii="仿宋" w:hAnsi="仿宋" w:eastAsia="仿宋"/>
                <w:color w:val="212121"/>
                <w:sz w:val="28"/>
                <w:szCs w:val="28"/>
              </w:rPr>
              <w:t>20</w:t>
            </w:r>
            <w:r>
              <w:rPr>
                <w:rFonts w:hint="eastAsia" w:ascii="仿宋" w:hAnsi="仿宋" w:eastAsia="仿宋"/>
                <w:color w:val="212121"/>
                <w:sz w:val="28"/>
                <w:szCs w:val="28"/>
              </w:rPr>
              <w:t>公里。</w:t>
            </w:r>
          </w:p>
          <w:p w14:paraId="5F6C9C41">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5、超大系统容量，系统支持不少于2</w:t>
            </w:r>
            <w:r>
              <w:rPr>
                <w:rFonts w:ascii="仿宋" w:hAnsi="仿宋" w:eastAsia="仿宋"/>
                <w:color w:val="212121"/>
                <w:sz w:val="28"/>
                <w:szCs w:val="28"/>
              </w:rPr>
              <w:t>5</w:t>
            </w:r>
            <w:r>
              <w:rPr>
                <w:rFonts w:hint="eastAsia" w:ascii="仿宋" w:hAnsi="仿宋" w:eastAsia="仿宋"/>
                <w:color w:val="212121"/>
                <w:sz w:val="28"/>
                <w:szCs w:val="28"/>
              </w:rPr>
              <w:t>0</w:t>
            </w:r>
            <w:r>
              <w:rPr>
                <w:rFonts w:ascii="仿宋" w:hAnsi="仿宋" w:eastAsia="仿宋"/>
                <w:color w:val="212121"/>
                <w:sz w:val="28"/>
                <w:szCs w:val="28"/>
              </w:rPr>
              <w:t>0</w:t>
            </w:r>
            <w:r>
              <w:rPr>
                <w:rFonts w:hint="eastAsia" w:ascii="仿宋" w:hAnsi="仿宋" w:eastAsia="仿宋"/>
                <w:color w:val="212121"/>
                <w:sz w:val="28"/>
                <w:szCs w:val="28"/>
              </w:rPr>
              <w:t>个无线终端。</w:t>
            </w:r>
          </w:p>
          <w:p w14:paraId="64B34F97">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6</w:t>
            </w:r>
            <w:r>
              <w:rPr>
                <w:rFonts w:ascii="仿宋" w:hAnsi="仿宋" w:eastAsia="仿宋"/>
                <w:color w:val="212121"/>
                <w:sz w:val="28"/>
                <w:szCs w:val="28"/>
              </w:rPr>
              <w:t>、TFT</w:t>
            </w:r>
            <w:r>
              <w:rPr>
                <w:rFonts w:hint="eastAsia" w:ascii="仿宋" w:hAnsi="仿宋" w:eastAsia="仿宋"/>
                <w:color w:val="212121"/>
                <w:sz w:val="28"/>
                <w:szCs w:val="28"/>
              </w:rPr>
              <w:t>彩色液晶显示器，图形化菜单设计，使用简单。</w:t>
            </w:r>
          </w:p>
          <w:p w14:paraId="4E0135DC">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7、内置</w:t>
            </w:r>
            <w:r>
              <w:rPr>
                <w:rFonts w:ascii="仿宋" w:hAnsi="仿宋" w:eastAsia="仿宋"/>
                <w:color w:val="212121"/>
                <w:sz w:val="28"/>
                <w:szCs w:val="28"/>
              </w:rPr>
              <w:t>T9</w:t>
            </w:r>
            <w:r>
              <w:rPr>
                <w:rFonts w:hint="eastAsia" w:ascii="仿宋" w:hAnsi="仿宋" w:eastAsia="仿宋"/>
                <w:color w:val="212121"/>
                <w:sz w:val="28"/>
                <w:szCs w:val="28"/>
              </w:rPr>
              <w:t>中文输入法，任意设置终端设备位置中文描述，方便火警定位。</w:t>
            </w:r>
          </w:p>
          <w:p w14:paraId="1F7C293E">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8、控制器应提供不少于</w:t>
            </w:r>
            <w:r>
              <w:rPr>
                <w:rFonts w:ascii="仿宋" w:hAnsi="仿宋" w:eastAsia="仿宋"/>
                <w:color w:val="212121"/>
                <w:sz w:val="28"/>
                <w:szCs w:val="28"/>
              </w:rPr>
              <w:t>3</w:t>
            </w:r>
            <w:r>
              <w:rPr>
                <w:rFonts w:hint="eastAsia" w:ascii="仿宋" w:hAnsi="仿宋" w:eastAsia="仿宋"/>
                <w:color w:val="212121"/>
                <w:sz w:val="28"/>
                <w:szCs w:val="28"/>
              </w:rPr>
              <w:t>组手动直接控制输出，具有手动、自动操作方式，用于控制消防泵、排烟机等重要设备。</w:t>
            </w:r>
          </w:p>
          <w:p w14:paraId="7946EDB6">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9、应具备</w:t>
            </w:r>
            <w:r>
              <w:rPr>
                <w:rFonts w:ascii="仿宋" w:hAnsi="仿宋" w:eastAsia="仿宋"/>
                <w:color w:val="212121"/>
                <w:sz w:val="28"/>
                <w:szCs w:val="28"/>
              </w:rPr>
              <w:t>RS232</w:t>
            </w:r>
            <w:r>
              <w:rPr>
                <w:rFonts w:hint="eastAsia" w:ascii="仿宋" w:hAnsi="仿宋" w:eastAsia="仿宋"/>
                <w:color w:val="212121"/>
                <w:sz w:val="28"/>
                <w:szCs w:val="28"/>
              </w:rPr>
              <w:t>通讯接口，可连接图形显示软件。</w:t>
            </w:r>
          </w:p>
          <w:p w14:paraId="311A562E">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10、采用无线和总线通讯方式。</w:t>
            </w:r>
          </w:p>
          <w:p w14:paraId="5A68EE50">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11、可记录</w:t>
            </w:r>
            <w:r>
              <w:rPr>
                <w:rFonts w:ascii="仿宋" w:hAnsi="仿宋" w:eastAsia="仿宋"/>
                <w:color w:val="212121"/>
                <w:sz w:val="28"/>
                <w:szCs w:val="28"/>
              </w:rPr>
              <w:t>10000</w:t>
            </w:r>
            <w:r>
              <w:rPr>
                <w:rFonts w:hint="eastAsia" w:ascii="仿宋" w:hAnsi="仿宋" w:eastAsia="仿宋"/>
                <w:color w:val="212121"/>
                <w:sz w:val="28"/>
                <w:szCs w:val="28"/>
              </w:rPr>
              <w:t>条以上事件，掉电不丢失。</w:t>
            </w:r>
          </w:p>
          <w:p w14:paraId="068B5778">
            <w:pPr>
              <w:widowControl/>
              <w:spacing w:line="360" w:lineRule="auto"/>
              <w:jc w:val="left"/>
              <w:textAlignment w:val="center"/>
              <w:rPr>
                <w:rFonts w:hint="eastAsia" w:ascii="仿宋" w:hAnsi="仿宋" w:eastAsia="仿宋"/>
                <w:color w:val="212121"/>
                <w:sz w:val="28"/>
                <w:szCs w:val="28"/>
              </w:rPr>
            </w:pPr>
            <w:r>
              <w:rPr>
                <w:rFonts w:hint="eastAsia" w:ascii="仿宋" w:hAnsi="仿宋" w:eastAsia="仿宋"/>
                <w:color w:val="212121"/>
                <w:sz w:val="28"/>
                <w:szCs w:val="28"/>
              </w:rPr>
              <w:t>12、无线有线相结合，消防主机同时预留一个回路，</w:t>
            </w:r>
            <w:r>
              <w:rPr>
                <w:rFonts w:ascii="仿宋" w:hAnsi="仿宋" w:eastAsia="仿宋"/>
                <w:color w:val="212121"/>
                <w:sz w:val="28"/>
                <w:szCs w:val="28"/>
              </w:rPr>
              <w:t>250</w:t>
            </w:r>
            <w:r>
              <w:rPr>
                <w:rFonts w:hint="eastAsia" w:ascii="仿宋" w:hAnsi="仿宋" w:eastAsia="仿宋"/>
                <w:color w:val="212121"/>
                <w:sz w:val="28"/>
                <w:szCs w:val="28"/>
              </w:rPr>
              <w:t>点火警两总线接口，无线网络和有线网络要无缝连接；与传统消防相同的联动模式应支持无线和总线设备的混合联动；火警总线部分采用高可靠的全数字总线通讯协议，主要包括非破坏性总线信息仲裁技术、双校验和即时交互式校验通讯技术、多址群集自动</w:t>
            </w:r>
            <w:r>
              <w:rPr>
                <w:rFonts w:ascii="仿宋" w:hAnsi="仿宋" w:eastAsia="仿宋"/>
                <w:color w:val="212121"/>
                <w:sz w:val="28"/>
                <w:szCs w:val="28"/>
              </w:rPr>
              <w:t>ID</w:t>
            </w:r>
            <w:r>
              <w:rPr>
                <w:rFonts w:hint="eastAsia" w:ascii="仿宋" w:hAnsi="仿宋" w:eastAsia="仿宋"/>
                <w:color w:val="212121"/>
                <w:sz w:val="28"/>
                <w:szCs w:val="28"/>
              </w:rPr>
              <w:t>识别技术；强大的总线过流、过压和过载保护功能。</w:t>
            </w:r>
          </w:p>
          <w:p w14:paraId="049748D8">
            <w:pPr>
              <w:widowControl/>
              <w:jc w:val="left"/>
              <w:rPr>
                <w:rFonts w:hint="eastAsia" w:ascii="仿宋" w:hAnsi="仿宋" w:eastAsia="仿宋" w:cs="宋体"/>
                <w:kern w:val="0"/>
                <w:sz w:val="28"/>
                <w:szCs w:val="28"/>
              </w:rPr>
            </w:pPr>
            <w:r>
              <w:rPr>
                <w:rFonts w:hint="eastAsia" w:ascii="仿宋" w:hAnsi="仿宋" w:eastAsia="仿宋"/>
                <w:color w:val="212121"/>
                <w:sz w:val="28"/>
                <w:szCs w:val="28"/>
              </w:rPr>
              <w:t>13、总线带有防雷保护装置；具有</w:t>
            </w:r>
            <w:r>
              <w:rPr>
                <w:rFonts w:ascii="仿宋" w:hAnsi="仿宋" w:eastAsia="仿宋"/>
                <w:color w:val="212121"/>
                <w:sz w:val="28"/>
                <w:szCs w:val="28"/>
              </w:rPr>
              <w:t>CAN</w:t>
            </w:r>
            <w:r>
              <w:rPr>
                <w:rFonts w:hint="eastAsia" w:ascii="仿宋" w:hAnsi="仿宋" w:eastAsia="仿宋"/>
                <w:color w:val="212121"/>
                <w:sz w:val="28"/>
                <w:szCs w:val="28"/>
              </w:rPr>
              <w:t>接口组网功能。</w:t>
            </w:r>
          </w:p>
        </w:tc>
      </w:tr>
      <w:tr w14:paraId="16FD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2EA3E37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10</w:t>
            </w:r>
          </w:p>
        </w:tc>
        <w:tc>
          <w:tcPr>
            <w:tcW w:w="1417" w:type="dxa"/>
            <w:shd w:val="clear" w:color="auto" w:fill="auto"/>
            <w:noWrap/>
            <w:vAlign w:val="center"/>
          </w:tcPr>
          <w:p w14:paraId="605A75DE">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0968A87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LoRa无线烟感</w:t>
            </w:r>
          </w:p>
        </w:tc>
        <w:tc>
          <w:tcPr>
            <w:tcW w:w="5778" w:type="dxa"/>
            <w:shd w:val="clear" w:color="auto" w:fill="auto"/>
            <w:noWrap/>
            <w:vAlign w:val="center"/>
          </w:tcPr>
          <w:p w14:paraId="526760B3">
            <w:pPr>
              <w:pStyle w:val="27"/>
              <w:widowControl/>
              <w:spacing w:line="360" w:lineRule="auto"/>
              <w:ind w:left="6" w:firstLine="0" w:firstLineChars="0"/>
              <w:jc w:val="left"/>
              <w:rPr>
                <w:rFonts w:hint="eastAsia" w:ascii="仿宋" w:hAnsi="仿宋" w:eastAsia="仿宋"/>
                <w:color w:val="212121"/>
                <w:sz w:val="28"/>
                <w:szCs w:val="28"/>
              </w:rPr>
            </w:pPr>
            <w:r>
              <w:rPr>
                <w:rFonts w:hint="eastAsia" w:ascii="仿宋" w:hAnsi="仿宋" w:eastAsia="仿宋"/>
                <w:color w:val="212121"/>
                <w:sz w:val="28"/>
                <w:szCs w:val="28"/>
              </w:rPr>
              <w:t xml:space="preserve">1、工作电压：DC3V； </w:t>
            </w:r>
          </w:p>
          <w:p w14:paraId="62F5A764">
            <w:pPr>
              <w:pStyle w:val="27"/>
              <w:widowControl/>
              <w:spacing w:line="360" w:lineRule="auto"/>
              <w:ind w:left="6" w:firstLine="0" w:firstLineChars="0"/>
              <w:jc w:val="left"/>
              <w:rPr>
                <w:rFonts w:hint="eastAsia" w:ascii="仿宋" w:hAnsi="仿宋" w:eastAsia="仿宋"/>
                <w:color w:val="212121"/>
                <w:sz w:val="28"/>
                <w:szCs w:val="28"/>
              </w:rPr>
            </w:pPr>
            <w:r>
              <w:rPr>
                <w:rFonts w:hint="eastAsia" w:ascii="仿宋" w:hAnsi="仿宋" w:eastAsia="仿宋"/>
                <w:color w:val="212121"/>
                <w:sz w:val="28"/>
                <w:szCs w:val="28"/>
              </w:rPr>
              <w:t xml:space="preserve">2、具有防拆报警功能； </w:t>
            </w:r>
          </w:p>
          <w:p w14:paraId="0523848B">
            <w:pPr>
              <w:pStyle w:val="27"/>
              <w:widowControl/>
              <w:spacing w:line="360" w:lineRule="auto"/>
              <w:ind w:left="6" w:firstLine="0" w:firstLineChars="0"/>
              <w:jc w:val="left"/>
              <w:rPr>
                <w:rFonts w:hint="eastAsia" w:ascii="仿宋" w:hAnsi="仿宋" w:eastAsia="仿宋"/>
                <w:color w:val="212121"/>
                <w:sz w:val="28"/>
                <w:szCs w:val="28"/>
              </w:rPr>
            </w:pPr>
            <w:r>
              <w:rPr>
                <w:rFonts w:hint="eastAsia" w:ascii="仿宋" w:hAnsi="仿宋" w:eastAsia="仿宋"/>
                <w:color w:val="212121"/>
                <w:sz w:val="28"/>
                <w:szCs w:val="28"/>
              </w:rPr>
              <w:t xml:space="preserve">3、具有一个火灾报警确认灯； </w:t>
            </w:r>
          </w:p>
          <w:p w14:paraId="14AA9131">
            <w:pPr>
              <w:pStyle w:val="27"/>
              <w:widowControl/>
              <w:spacing w:line="360" w:lineRule="auto"/>
              <w:ind w:left="6" w:firstLine="0" w:firstLineChars="0"/>
              <w:jc w:val="left"/>
              <w:rPr>
                <w:rFonts w:hint="eastAsia" w:ascii="仿宋" w:hAnsi="仿宋" w:eastAsia="仿宋"/>
                <w:color w:val="212121"/>
                <w:sz w:val="28"/>
                <w:szCs w:val="28"/>
              </w:rPr>
            </w:pPr>
            <w:r>
              <w:rPr>
                <w:rFonts w:hint="eastAsia" w:ascii="仿宋" w:hAnsi="仿宋" w:eastAsia="仿宋"/>
                <w:color w:val="212121"/>
                <w:sz w:val="28"/>
                <w:szCs w:val="28"/>
              </w:rPr>
              <w:t>4、电池容量不小于2500mAH锂电池；</w:t>
            </w:r>
          </w:p>
          <w:p w14:paraId="0F144091">
            <w:pPr>
              <w:pStyle w:val="27"/>
              <w:widowControl/>
              <w:spacing w:line="360" w:lineRule="auto"/>
              <w:ind w:left="6" w:firstLine="0" w:firstLineChars="0"/>
              <w:jc w:val="left"/>
              <w:rPr>
                <w:rFonts w:hint="eastAsia" w:ascii="仿宋" w:hAnsi="仿宋" w:eastAsia="仿宋" w:cs="宋体"/>
                <w:kern w:val="0"/>
                <w:sz w:val="28"/>
                <w:szCs w:val="28"/>
              </w:rPr>
            </w:pPr>
            <w:r>
              <w:rPr>
                <w:rFonts w:hint="eastAsia" w:ascii="仿宋" w:hAnsi="仿宋" w:eastAsia="仿宋"/>
                <w:color w:val="212121"/>
                <w:sz w:val="28"/>
                <w:szCs w:val="28"/>
              </w:rPr>
              <w:t xml:space="preserve">5、能够无缝对接现有智慧消防平台。 </w:t>
            </w:r>
          </w:p>
        </w:tc>
      </w:tr>
      <w:tr w14:paraId="5B95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shd w:val="clear" w:color="auto" w:fill="auto"/>
            <w:noWrap/>
            <w:vAlign w:val="center"/>
          </w:tcPr>
          <w:p w14:paraId="1D9E9960">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11</w:t>
            </w:r>
          </w:p>
        </w:tc>
        <w:tc>
          <w:tcPr>
            <w:tcW w:w="1417" w:type="dxa"/>
            <w:shd w:val="clear" w:color="auto" w:fill="auto"/>
            <w:noWrap/>
            <w:vAlign w:val="center"/>
          </w:tcPr>
          <w:p w14:paraId="686EC307">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7C3CC47F">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独立式火灾探测报警器（1期增补）</w:t>
            </w:r>
          </w:p>
        </w:tc>
        <w:tc>
          <w:tcPr>
            <w:tcW w:w="5778" w:type="dxa"/>
            <w:shd w:val="clear" w:color="auto" w:fill="auto"/>
            <w:noWrap/>
            <w:vAlign w:val="center"/>
          </w:tcPr>
          <w:p w14:paraId="086EEB69">
            <w:pPr>
              <w:spacing w:line="360" w:lineRule="auto"/>
              <w:rPr>
                <w:rFonts w:hint="eastAsia" w:ascii="仿宋" w:hAnsi="仿宋" w:eastAsia="仿宋" w:cs="宋体"/>
                <w:color w:val="212121"/>
                <w:sz w:val="28"/>
                <w:szCs w:val="28"/>
              </w:rPr>
            </w:pPr>
            <w:r>
              <w:rPr>
                <w:rFonts w:hint="eastAsia" w:ascii="仿宋" w:hAnsi="仿宋" w:eastAsia="仿宋"/>
                <w:color w:val="212121"/>
                <w:sz w:val="28"/>
                <w:szCs w:val="28"/>
              </w:rPr>
              <w:t>1、迷宫信号自动补偿；</w:t>
            </w:r>
            <w:r>
              <w:rPr>
                <w:rFonts w:hint="eastAsia" w:ascii="仿宋" w:hAnsi="仿宋" w:eastAsia="仿宋"/>
                <w:color w:val="212121"/>
                <w:sz w:val="28"/>
                <w:szCs w:val="28"/>
              </w:rPr>
              <w:cr/>
            </w:r>
            <w:r>
              <w:rPr>
                <w:rFonts w:hint="eastAsia" w:ascii="仿宋" w:hAnsi="仿宋" w:eastAsia="仿宋"/>
                <w:color w:val="212121"/>
                <w:sz w:val="28"/>
                <w:szCs w:val="28"/>
              </w:rPr>
              <w:t>2、机械防拆及电子防拆，防拆告警及恢复指示；</w:t>
            </w:r>
            <w:r>
              <w:rPr>
                <w:rFonts w:hint="eastAsia" w:ascii="仿宋" w:hAnsi="仿宋" w:eastAsia="仿宋"/>
                <w:color w:val="212121"/>
                <w:sz w:val="28"/>
                <w:szCs w:val="28"/>
              </w:rPr>
              <w:cr/>
            </w:r>
            <w:r>
              <w:rPr>
                <w:rFonts w:hint="eastAsia" w:ascii="仿宋" w:hAnsi="仿宋" w:eastAsia="仿宋"/>
                <w:color w:val="212121"/>
                <w:sz w:val="28"/>
                <w:szCs w:val="28"/>
              </w:rPr>
              <w:t>3、产品故障告警、低电压告警；</w:t>
            </w:r>
            <w:r>
              <w:rPr>
                <w:rFonts w:hint="eastAsia" w:ascii="仿宋" w:hAnsi="仿宋" w:eastAsia="仿宋"/>
                <w:color w:val="212121"/>
                <w:sz w:val="28"/>
                <w:szCs w:val="28"/>
              </w:rPr>
              <w:cr/>
            </w:r>
            <w:r>
              <w:rPr>
                <w:rFonts w:hint="eastAsia" w:ascii="仿宋" w:hAnsi="仿宋" w:eastAsia="仿宋"/>
                <w:color w:val="212121"/>
                <w:sz w:val="28"/>
                <w:szCs w:val="28"/>
              </w:rPr>
              <w:t>4、手动自检声、光报警；</w:t>
            </w:r>
            <w:r>
              <w:rPr>
                <w:rFonts w:hint="eastAsia" w:ascii="仿宋" w:hAnsi="仿宋" w:eastAsia="仿宋"/>
                <w:color w:val="212121"/>
                <w:sz w:val="28"/>
                <w:szCs w:val="28"/>
              </w:rPr>
              <w:cr/>
            </w:r>
            <w:r>
              <w:rPr>
                <w:rFonts w:hint="eastAsia" w:ascii="仿宋" w:hAnsi="仿宋" w:eastAsia="仿宋"/>
                <w:color w:val="212121"/>
                <w:sz w:val="28"/>
                <w:szCs w:val="28"/>
              </w:rPr>
              <w:t>5、本地手动按键消音；</w:t>
            </w:r>
            <w:r>
              <w:rPr>
                <w:rFonts w:hint="eastAsia" w:ascii="仿宋" w:hAnsi="仿宋" w:eastAsia="仿宋"/>
                <w:color w:val="212121"/>
                <w:sz w:val="28"/>
                <w:szCs w:val="28"/>
              </w:rPr>
              <w:cr/>
            </w:r>
            <w:r>
              <w:rPr>
                <w:rFonts w:hint="eastAsia" w:ascii="仿宋" w:hAnsi="仿宋" w:eastAsia="仿宋"/>
                <w:color w:val="212121"/>
                <w:sz w:val="28"/>
                <w:szCs w:val="28"/>
              </w:rPr>
              <w:t>6、联网状态LED灯状态指示设备状态周期性上报；</w:t>
            </w:r>
            <w:r>
              <w:rPr>
                <w:rFonts w:hint="eastAsia" w:ascii="仿宋" w:hAnsi="仿宋" w:eastAsia="仿宋"/>
                <w:color w:val="212121"/>
                <w:sz w:val="28"/>
                <w:szCs w:val="28"/>
              </w:rPr>
              <w:cr/>
            </w:r>
            <w:r>
              <w:rPr>
                <w:rFonts w:hint="eastAsia" w:ascii="仿宋" w:hAnsi="仿宋" w:eastAsia="仿宋"/>
                <w:color w:val="212121"/>
                <w:sz w:val="28"/>
                <w:szCs w:val="28"/>
              </w:rPr>
              <w:t>7、具备环境温度值上报功能；</w:t>
            </w:r>
            <w:r>
              <w:rPr>
                <w:rFonts w:hint="eastAsia" w:ascii="仿宋" w:hAnsi="仿宋" w:eastAsia="仿宋"/>
                <w:color w:val="212121"/>
                <w:sz w:val="28"/>
                <w:szCs w:val="28"/>
              </w:rPr>
              <w:cr/>
            </w:r>
            <w:r>
              <w:rPr>
                <w:rFonts w:hint="eastAsia" w:ascii="仿宋" w:hAnsi="仿宋" w:eastAsia="仿宋"/>
                <w:color w:val="212121"/>
                <w:sz w:val="28"/>
                <w:szCs w:val="28"/>
              </w:rPr>
              <w:t>8、防尘、防虫、防潮、防腐蚀、防盐雾，红黄双色LED指示灯；</w:t>
            </w:r>
          </w:p>
          <w:p w14:paraId="424B3DFD">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9、能够无缝对接现有智慧消防平台及原有楼栋lora网关设备。</w:t>
            </w:r>
          </w:p>
        </w:tc>
      </w:tr>
      <w:tr w14:paraId="4F9A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shd w:val="clear" w:color="auto" w:fill="auto"/>
            <w:noWrap/>
            <w:vAlign w:val="center"/>
          </w:tcPr>
          <w:p w14:paraId="206C21A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12</w:t>
            </w:r>
          </w:p>
        </w:tc>
        <w:tc>
          <w:tcPr>
            <w:tcW w:w="1417" w:type="dxa"/>
            <w:shd w:val="clear" w:color="auto" w:fill="auto"/>
            <w:noWrap/>
            <w:vAlign w:val="center"/>
          </w:tcPr>
          <w:p w14:paraId="6F53AFA6">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7886650B">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分体式火灾探测报警器（2期增补）</w:t>
            </w:r>
          </w:p>
        </w:tc>
        <w:tc>
          <w:tcPr>
            <w:tcW w:w="5778" w:type="dxa"/>
            <w:shd w:val="clear" w:color="auto" w:fill="auto"/>
            <w:noWrap/>
            <w:vAlign w:val="center"/>
          </w:tcPr>
          <w:p w14:paraId="56DF4D02">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 xml:space="preserve">1、基本参数：工作电压：DC9V；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2、支持LoRa协议通讯；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3、能够无缝对接现有智慧消防平台及原有lora楼栋网关设备。</w:t>
            </w:r>
          </w:p>
        </w:tc>
      </w:tr>
      <w:tr w14:paraId="755B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shd w:val="clear" w:color="auto" w:fill="auto"/>
            <w:noWrap/>
            <w:vAlign w:val="center"/>
          </w:tcPr>
          <w:p w14:paraId="673849A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13</w:t>
            </w:r>
          </w:p>
        </w:tc>
        <w:tc>
          <w:tcPr>
            <w:tcW w:w="1417" w:type="dxa"/>
            <w:shd w:val="clear" w:color="auto" w:fill="auto"/>
            <w:noWrap/>
            <w:vAlign w:val="center"/>
          </w:tcPr>
          <w:p w14:paraId="756E95E8">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2E79EA5B">
            <w:pPr>
              <w:widowControl/>
              <w:jc w:val="center"/>
              <w:rPr>
                <w:rFonts w:hint="eastAsia" w:ascii="仿宋" w:hAnsi="仿宋" w:eastAsia="仿宋" w:cs="宋体"/>
                <w:kern w:val="0"/>
                <w:sz w:val="28"/>
                <w:szCs w:val="28"/>
              </w:rPr>
            </w:pPr>
            <w:r>
              <w:rPr>
                <w:rFonts w:hint="eastAsia" w:ascii="仿宋" w:hAnsi="仿宋" w:eastAsia="仿宋" w:cs="宋体"/>
                <w:color w:val="212121"/>
                <w:sz w:val="28"/>
                <w:szCs w:val="28"/>
              </w:rPr>
              <w:t>一体化火灾探测报警器（3期增补）</w:t>
            </w:r>
          </w:p>
        </w:tc>
        <w:tc>
          <w:tcPr>
            <w:tcW w:w="5778" w:type="dxa"/>
            <w:shd w:val="clear" w:color="auto" w:fill="auto"/>
            <w:noWrap/>
            <w:vAlign w:val="center"/>
          </w:tcPr>
          <w:p w14:paraId="12E1E012">
            <w:pPr>
              <w:spacing w:line="360" w:lineRule="auto"/>
              <w:rPr>
                <w:rFonts w:hint="eastAsia" w:ascii="仿宋" w:hAnsi="仿宋" w:eastAsia="仿宋" w:cs="宋体"/>
                <w:color w:val="212121"/>
                <w:sz w:val="28"/>
                <w:szCs w:val="28"/>
              </w:rPr>
            </w:pPr>
            <w:r>
              <w:rPr>
                <w:rFonts w:hint="eastAsia" w:ascii="仿宋" w:hAnsi="仿宋" w:eastAsia="仿宋"/>
                <w:color w:val="212121"/>
                <w:sz w:val="28"/>
                <w:szCs w:val="28"/>
              </w:rPr>
              <w:t>1、迷宫信号自动补偿；</w:t>
            </w:r>
            <w:r>
              <w:rPr>
                <w:rFonts w:hint="eastAsia" w:ascii="仿宋" w:hAnsi="仿宋" w:eastAsia="仿宋"/>
                <w:color w:val="212121"/>
                <w:sz w:val="28"/>
                <w:szCs w:val="28"/>
              </w:rPr>
              <w:cr/>
            </w:r>
            <w:r>
              <w:rPr>
                <w:rFonts w:hint="eastAsia" w:ascii="仿宋" w:hAnsi="仿宋" w:eastAsia="仿宋"/>
                <w:color w:val="212121"/>
                <w:sz w:val="28"/>
                <w:szCs w:val="28"/>
              </w:rPr>
              <w:t>2、机械防拆及电子防拆，防拆告警及恢复指示；</w:t>
            </w:r>
            <w:r>
              <w:rPr>
                <w:rFonts w:hint="eastAsia" w:ascii="仿宋" w:hAnsi="仿宋" w:eastAsia="仿宋"/>
                <w:color w:val="212121"/>
                <w:sz w:val="28"/>
                <w:szCs w:val="28"/>
              </w:rPr>
              <w:cr/>
            </w:r>
            <w:r>
              <w:rPr>
                <w:rFonts w:hint="eastAsia" w:ascii="仿宋" w:hAnsi="仿宋" w:eastAsia="仿宋"/>
                <w:color w:val="212121"/>
                <w:sz w:val="28"/>
                <w:szCs w:val="28"/>
              </w:rPr>
              <w:t>3、产品故障告警、低电压告警；</w:t>
            </w:r>
            <w:r>
              <w:rPr>
                <w:rFonts w:hint="eastAsia" w:ascii="仿宋" w:hAnsi="仿宋" w:eastAsia="仿宋"/>
                <w:color w:val="212121"/>
                <w:sz w:val="28"/>
                <w:szCs w:val="28"/>
              </w:rPr>
              <w:cr/>
            </w:r>
            <w:r>
              <w:rPr>
                <w:rFonts w:hint="eastAsia" w:ascii="仿宋" w:hAnsi="仿宋" w:eastAsia="仿宋"/>
                <w:color w:val="212121"/>
                <w:sz w:val="28"/>
                <w:szCs w:val="28"/>
              </w:rPr>
              <w:t>4、手动自检声、光报警；</w:t>
            </w:r>
            <w:r>
              <w:rPr>
                <w:rFonts w:hint="eastAsia" w:ascii="仿宋" w:hAnsi="仿宋" w:eastAsia="仿宋"/>
                <w:color w:val="212121"/>
                <w:sz w:val="28"/>
                <w:szCs w:val="28"/>
              </w:rPr>
              <w:cr/>
            </w:r>
            <w:r>
              <w:rPr>
                <w:rFonts w:hint="eastAsia" w:ascii="仿宋" w:hAnsi="仿宋" w:eastAsia="仿宋"/>
                <w:color w:val="212121"/>
                <w:sz w:val="28"/>
                <w:szCs w:val="28"/>
              </w:rPr>
              <w:t>5、本地手动按键消音；</w:t>
            </w:r>
            <w:r>
              <w:rPr>
                <w:rFonts w:hint="eastAsia" w:ascii="仿宋" w:hAnsi="仿宋" w:eastAsia="仿宋"/>
                <w:color w:val="212121"/>
                <w:sz w:val="28"/>
                <w:szCs w:val="28"/>
              </w:rPr>
              <w:cr/>
            </w:r>
            <w:r>
              <w:rPr>
                <w:rFonts w:hint="eastAsia" w:ascii="仿宋" w:hAnsi="仿宋" w:eastAsia="仿宋"/>
                <w:color w:val="212121"/>
                <w:sz w:val="28"/>
                <w:szCs w:val="28"/>
              </w:rPr>
              <w:t>6、联网状态LED灯状态指示设备状态周期性上报；</w:t>
            </w:r>
            <w:r>
              <w:rPr>
                <w:rFonts w:hint="eastAsia" w:ascii="仿宋" w:hAnsi="仿宋" w:eastAsia="仿宋"/>
                <w:color w:val="212121"/>
                <w:sz w:val="28"/>
                <w:szCs w:val="28"/>
              </w:rPr>
              <w:cr/>
            </w:r>
            <w:r>
              <w:rPr>
                <w:rFonts w:hint="eastAsia" w:ascii="仿宋" w:hAnsi="仿宋" w:eastAsia="仿宋"/>
                <w:color w:val="212121"/>
                <w:sz w:val="28"/>
                <w:szCs w:val="28"/>
              </w:rPr>
              <w:t>7、具备环境温度值上报功能；</w:t>
            </w:r>
            <w:r>
              <w:rPr>
                <w:rFonts w:hint="eastAsia" w:ascii="仿宋" w:hAnsi="仿宋" w:eastAsia="仿宋"/>
                <w:color w:val="212121"/>
                <w:sz w:val="28"/>
                <w:szCs w:val="28"/>
              </w:rPr>
              <w:cr/>
            </w:r>
            <w:r>
              <w:rPr>
                <w:rFonts w:hint="eastAsia" w:ascii="仿宋" w:hAnsi="仿宋" w:eastAsia="仿宋"/>
                <w:color w:val="212121"/>
                <w:sz w:val="28"/>
                <w:szCs w:val="28"/>
              </w:rPr>
              <w:t>8、防尘、防虫、防潮、防腐蚀、防盐雾，红黄双色LED指示灯；</w:t>
            </w:r>
          </w:p>
          <w:p w14:paraId="16206F51">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9、能够无缝对接现有智慧消防平台及原有楼栋lora网关设备。</w:t>
            </w:r>
          </w:p>
        </w:tc>
      </w:tr>
      <w:tr w14:paraId="7408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456BF43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14</w:t>
            </w:r>
          </w:p>
        </w:tc>
        <w:tc>
          <w:tcPr>
            <w:tcW w:w="1417" w:type="dxa"/>
            <w:shd w:val="clear" w:color="auto" w:fill="auto"/>
            <w:noWrap/>
            <w:vAlign w:val="center"/>
          </w:tcPr>
          <w:p w14:paraId="59843BFE">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40FE559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无线中继器</w:t>
            </w:r>
          </w:p>
        </w:tc>
        <w:tc>
          <w:tcPr>
            <w:tcW w:w="5778" w:type="dxa"/>
            <w:shd w:val="clear" w:color="auto" w:fill="auto"/>
            <w:noWrap/>
            <w:vAlign w:val="center"/>
          </w:tcPr>
          <w:p w14:paraId="15F34F12">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1、同类旁路网络之间无干扰，同网设备间无干扰；</w:t>
            </w:r>
          </w:p>
          <w:p w14:paraId="322D2DD9">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2、具有一个工作状态指示灯，能够显示设备工作状态；</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3、中继器能够延长无线烟感、无线温感等无线终端与控制器之间的距离；</w:t>
            </w:r>
          </w:p>
          <w:p w14:paraId="0A449C2D">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4、单个中继器可接入无线终端数量≥100个；</w:t>
            </w:r>
          </w:p>
          <w:p w14:paraId="0528229F">
            <w:pPr>
              <w:widowControl/>
              <w:spacing w:line="360" w:lineRule="auto"/>
              <w:rPr>
                <w:rFonts w:hint="eastAsia" w:ascii="仿宋" w:hAnsi="仿宋" w:eastAsia="仿宋" w:cs="宋体"/>
                <w:color w:val="212121"/>
                <w:sz w:val="28"/>
                <w:szCs w:val="28"/>
              </w:rPr>
            </w:pPr>
            <w:r>
              <w:rPr>
                <w:rFonts w:hint="eastAsia" w:ascii="仿宋" w:hAnsi="仿宋" w:eastAsia="仿宋" w:cs="宋体"/>
                <w:color w:val="212121"/>
                <w:sz w:val="28"/>
                <w:szCs w:val="28"/>
              </w:rPr>
              <w:t>5、在无遮挡的条件下无线通信功能的最大通讯距离≥2000米；</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6、设备支持无线信号方式级联，支持无线烟感能够通过无线中继器级联，将无线烟感的报警信息、在线信息、低电量信息传输至用户信息传输装置；</w:t>
            </w:r>
          </w:p>
          <w:p w14:paraId="78266548">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7、能够兼容对接现有智慧消防平台。</w:t>
            </w:r>
          </w:p>
        </w:tc>
      </w:tr>
      <w:tr w14:paraId="287A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04A7E7C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15</w:t>
            </w:r>
          </w:p>
        </w:tc>
        <w:tc>
          <w:tcPr>
            <w:tcW w:w="1417" w:type="dxa"/>
            <w:shd w:val="clear" w:color="auto" w:fill="auto"/>
            <w:noWrap/>
            <w:vAlign w:val="center"/>
          </w:tcPr>
          <w:p w14:paraId="3873EFD9">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52C52BE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汇聚交换机</w:t>
            </w:r>
          </w:p>
        </w:tc>
        <w:tc>
          <w:tcPr>
            <w:tcW w:w="5778" w:type="dxa"/>
            <w:shd w:val="clear" w:color="auto" w:fill="auto"/>
            <w:noWrap/>
            <w:vAlign w:val="center"/>
          </w:tcPr>
          <w:p w14:paraId="133FB5C7">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1、交换容量≥672Gbps，转发性能≥126Mpps。</w:t>
            </w:r>
          </w:p>
          <w:p w14:paraId="0E2D4486">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2、固化10/100/1000M自适应以太网端口≥24个，固化1G SFP光接口≥4个。</w:t>
            </w:r>
          </w:p>
          <w:p w14:paraId="79AA891D">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3、要求设备MAC地址≥16K。</w:t>
            </w:r>
          </w:p>
          <w:p w14:paraId="1E5B25D5">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4、要求设备采用静音无风扇节能设计。</w:t>
            </w:r>
          </w:p>
          <w:p w14:paraId="29C71F71">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5、支持静态路由、RIP/RIPng、OSPFv2/OSPFv3等三层路由协议。</w:t>
            </w:r>
          </w:p>
          <w:p w14:paraId="570DFB54">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6、支持sFlow网络监测技术。</w:t>
            </w:r>
          </w:p>
          <w:p w14:paraId="4E6FB815">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7、支持虚拟化功能，可将多台物理设备虚拟化为一台逻辑设备统一管理，并且链路故障的收敛时间≤30ms。</w:t>
            </w:r>
          </w:p>
          <w:p w14:paraId="2EF5CD0E">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8、支持OpenFlow 1.3协议，产品型号与获证产品型号一致。</w:t>
            </w:r>
          </w:p>
          <w:p w14:paraId="71320F1D">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9、支持SNMP、CLI(Telnet/Console)、RMON、SSH、Syslog、NTP/SNTP、FTP、TFTP、Web、RLDP。</w:t>
            </w:r>
          </w:p>
        </w:tc>
      </w:tr>
      <w:tr w14:paraId="4CB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05A5745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16</w:t>
            </w:r>
          </w:p>
        </w:tc>
        <w:tc>
          <w:tcPr>
            <w:tcW w:w="1417" w:type="dxa"/>
            <w:shd w:val="clear" w:color="auto" w:fill="auto"/>
            <w:noWrap/>
            <w:vAlign w:val="center"/>
          </w:tcPr>
          <w:p w14:paraId="376D48B5">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768B217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电源线</w:t>
            </w:r>
          </w:p>
        </w:tc>
        <w:tc>
          <w:tcPr>
            <w:tcW w:w="5778" w:type="dxa"/>
            <w:shd w:val="clear" w:color="auto" w:fill="auto"/>
            <w:noWrap/>
            <w:vAlign w:val="center"/>
          </w:tcPr>
          <w:p w14:paraId="528ED626">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阻燃RVV2*1.5</w:t>
            </w:r>
          </w:p>
        </w:tc>
      </w:tr>
      <w:tr w14:paraId="1098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22D3032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17</w:t>
            </w:r>
          </w:p>
        </w:tc>
        <w:tc>
          <w:tcPr>
            <w:tcW w:w="1417" w:type="dxa"/>
            <w:shd w:val="clear" w:color="auto" w:fill="auto"/>
            <w:noWrap/>
            <w:vAlign w:val="center"/>
          </w:tcPr>
          <w:p w14:paraId="142D350E">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255928E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网线</w:t>
            </w:r>
          </w:p>
        </w:tc>
        <w:tc>
          <w:tcPr>
            <w:tcW w:w="5778" w:type="dxa"/>
            <w:shd w:val="clear" w:color="auto" w:fill="auto"/>
            <w:noWrap/>
            <w:vAlign w:val="center"/>
          </w:tcPr>
          <w:p w14:paraId="68834FC7">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阻燃超五类网线</w:t>
            </w:r>
          </w:p>
        </w:tc>
      </w:tr>
      <w:tr w14:paraId="5FD0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43" w:type="dxa"/>
            <w:gridSpan w:val="4"/>
            <w:shd w:val="clear" w:color="auto" w:fill="auto"/>
            <w:noWrap/>
            <w:vAlign w:val="center"/>
          </w:tcPr>
          <w:p w14:paraId="4501596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地图</w:t>
            </w:r>
          </w:p>
        </w:tc>
      </w:tr>
      <w:tr w14:paraId="3C3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5870A82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18</w:t>
            </w:r>
          </w:p>
        </w:tc>
        <w:tc>
          <w:tcPr>
            <w:tcW w:w="1417" w:type="dxa"/>
            <w:shd w:val="clear" w:color="auto" w:fill="auto"/>
            <w:noWrap/>
            <w:vAlign w:val="center"/>
          </w:tcPr>
          <w:p w14:paraId="74F053AF">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42C74727">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室内地图数据引擎</w:t>
            </w:r>
          </w:p>
        </w:tc>
        <w:tc>
          <w:tcPr>
            <w:tcW w:w="5778" w:type="dxa"/>
            <w:shd w:val="clear" w:color="auto" w:fill="auto"/>
            <w:noWrap/>
            <w:vAlign w:val="center"/>
          </w:tcPr>
          <w:p w14:paraId="72017044">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1、提供基于WebGL的三维图形渲染引擎，支持完全基于HTML5的可视化数据模型的三维场景展现。</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2、能够无缝对接现有室外地图及现有智慧消防平台。</w:t>
            </w:r>
          </w:p>
        </w:tc>
      </w:tr>
      <w:tr w14:paraId="51CC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0605DC0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19</w:t>
            </w:r>
          </w:p>
        </w:tc>
        <w:tc>
          <w:tcPr>
            <w:tcW w:w="1417" w:type="dxa"/>
            <w:shd w:val="clear" w:color="auto" w:fill="auto"/>
            <w:noWrap/>
            <w:vAlign w:val="center"/>
          </w:tcPr>
          <w:p w14:paraId="29D6FA2C">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3748269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学生宿舍3D地图制作</w:t>
            </w:r>
          </w:p>
        </w:tc>
        <w:tc>
          <w:tcPr>
            <w:tcW w:w="5778" w:type="dxa"/>
            <w:shd w:val="clear" w:color="auto" w:fill="auto"/>
            <w:noWrap/>
            <w:vAlign w:val="center"/>
          </w:tcPr>
          <w:p w14:paraId="65FDB9C2">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根据勘察的楼层cad平面图，进行三维矢量化建模。</w:t>
            </w:r>
          </w:p>
        </w:tc>
      </w:tr>
      <w:tr w14:paraId="0A6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shd w:val="clear" w:color="auto" w:fill="auto"/>
            <w:noWrap/>
            <w:vAlign w:val="center"/>
          </w:tcPr>
          <w:p w14:paraId="243A37A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20</w:t>
            </w:r>
          </w:p>
        </w:tc>
        <w:tc>
          <w:tcPr>
            <w:tcW w:w="1417" w:type="dxa"/>
            <w:shd w:val="clear" w:color="auto" w:fill="auto"/>
            <w:noWrap/>
            <w:vAlign w:val="center"/>
          </w:tcPr>
          <w:p w14:paraId="6875790D">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7DB1C5D4">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学生宿舍地图基础数据</w:t>
            </w:r>
          </w:p>
        </w:tc>
        <w:tc>
          <w:tcPr>
            <w:tcW w:w="5778" w:type="dxa"/>
            <w:shd w:val="clear" w:color="auto" w:fill="auto"/>
            <w:noWrap/>
            <w:vAlign w:val="center"/>
          </w:tcPr>
          <w:p w14:paraId="27FF5B9D">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根据现场勘查数据，绘制本次建设室内楼宇CAD图纸制作。</w:t>
            </w:r>
          </w:p>
        </w:tc>
      </w:tr>
      <w:tr w14:paraId="256A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43" w:type="dxa"/>
            <w:gridSpan w:val="4"/>
            <w:shd w:val="clear" w:color="auto" w:fill="auto"/>
            <w:noWrap/>
            <w:vAlign w:val="center"/>
          </w:tcPr>
          <w:p w14:paraId="2F8F3ED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室外消火栓</w:t>
            </w:r>
          </w:p>
        </w:tc>
      </w:tr>
      <w:tr w14:paraId="6D07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shd w:val="clear" w:color="auto" w:fill="auto"/>
            <w:noWrap/>
            <w:vAlign w:val="center"/>
          </w:tcPr>
          <w:p w14:paraId="07031D3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21</w:t>
            </w:r>
          </w:p>
        </w:tc>
        <w:tc>
          <w:tcPr>
            <w:tcW w:w="1417" w:type="dxa"/>
            <w:shd w:val="clear" w:color="auto" w:fill="auto"/>
            <w:noWrap/>
            <w:vAlign w:val="center"/>
          </w:tcPr>
          <w:p w14:paraId="1D838F7C">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vAlign w:val="center"/>
          </w:tcPr>
          <w:p w14:paraId="5B2441B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室外消火栓压力采集终端(含三年流量费)</w:t>
            </w:r>
          </w:p>
        </w:tc>
        <w:tc>
          <w:tcPr>
            <w:tcW w:w="5778" w:type="dxa"/>
            <w:shd w:val="clear" w:color="auto" w:fill="auto"/>
            <w:noWrap/>
            <w:vAlign w:val="center"/>
          </w:tcPr>
          <w:p w14:paraId="18FAEA9F">
            <w:pPr>
              <w:widowControl/>
              <w:jc w:val="left"/>
              <w:rPr>
                <w:rFonts w:hint="eastAsia" w:ascii="仿宋" w:hAnsi="仿宋" w:eastAsia="仿宋" w:cs="宋体"/>
                <w:kern w:val="0"/>
                <w:sz w:val="28"/>
                <w:szCs w:val="28"/>
              </w:rPr>
            </w:pPr>
            <w:r>
              <w:rPr>
                <w:rFonts w:hint="eastAsia" w:ascii="仿宋" w:hAnsi="仿宋" w:eastAsia="仿宋" w:cs="宋体"/>
                <w:color w:val="212121"/>
                <w:sz w:val="28"/>
                <w:szCs w:val="28"/>
              </w:rPr>
              <w:t xml:space="preserve">里程：压力0~2.5MPa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过载压力：200%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外壳材质：尼龙外壳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供电电压：3.6V锂电池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工作温度：-25--70°C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采样速率：3秒/次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上发速率：10分钟-1440分钟可设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 xml:space="preserve">安装方式：G1/2螺纹/法兰安装/消防抱箍安装IP68 </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防护等级：IP68</w:t>
            </w:r>
          </w:p>
        </w:tc>
      </w:tr>
      <w:tr w14:paraId="06C1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43" w:type="dxa"/>
            <w:gridSpan w:val="4"/>
            <w:shd w:val="clear" w:color="auto" w:fill="auto"/>
            <w:noWrap/>
            <w:vAlign w:val="center"/>
          </w:tcPr>
          <w:p w14:paraId="5593160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视频AI分析</w:t>
            </w:r>
          </w:p>
        </w:tc>
      </w:tr>
      <w:tr w14:paraId="2412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4DDC092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22</w:t>
            </w:r>
          </w:p>
        </w:tc>
        <w:tc>
          <w:tcPr>
            <w:tcW w:w="1417" w:type="dxa"/>
            <w:shd w:val="clear" w:color="auto" w:fill="auto"/>
            <w:noWrap/>
            <w:vAlign w:val="center"/>
          </w:tcPr>
          <w:p w14:paraId="0D586F0C">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14A8CA39">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AI分析服务器</w:t>
            </w:r>
          </w:p>
        </w:tc>
        <w:tc>
          <w:tcPr>
            <w:tcW w:w="5778" w:type="dxa"/>
            <w:shd w:val="clear" w:color="auto" w:fill="auto"/>
            <w:noWrap/>
            <w:vAlign w:val="center"/>
          </w:tcPr>
          <w:p w14:paraId="2A629C4A">
            <w:pPr>
              <w:widowControl/>
              <w:spacing w:line="360" w:lineRule="auto"/>
              <w:jc w:val="left"/>
              <w:rPr>
                <w:rFonts w:hint="eastAsia" w:ascii="仿宋" w:hAnsi="仿宋" w:eastAsia="仿宋" w:cs="宋体"/>
                <w:color w:val="212121"/>
                <w:sz w:val="28"/>
                <w:szCs w:val="28"/>
              </w:rPr>
            </w:pPr>
            <w:r>
              <w:rPr>
                <w:rFonts w:hint="eastAsia" w:ascii="仿宋" w:hAnsi="仿宋" w:eastAsia="仿宋" w:cs="宋体"/>
                <w:color w:val="212121"/>
                <w:sz w:val="28"/>
                <w:szCs w:val="28"/>
              </w:rPr>
              <w:t>【硬件规格】</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4U标准机架式24盘位网络硬盘录像机，1+1冗余电源，1+1冗余风扇，支持前置硬盘热插拔</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支持满配12TB硬盘（总容量可达288TB）</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2个HDMI接口、1个VGA接口，双异源输出，支持双4K输出</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4×RJ45 1000Mbps电口；4×SFP千兆光口</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1个USB2.0接口、2个USB3.0接口</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1个eSATA接口、2个V-SAS接口</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报警IO接口：48路报警输入，24路报警输出</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串行接口：1路全双工485接口 ，1路标准RS-232接口</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【产品性能】</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输入带宽：768Mbps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输出带宽：512Mbps</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接入能力：256路H.264、H.265格式高清码流接入</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解码能力：最大支持20×1080P</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显示能力：最大支持双4K异源输出</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RAID模式：RAID0、RAID1、RAID5、RAID6、RAID10，支持全局热备盘</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【智能应用】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整机搭载16颗高性能AI引擎，支持独立配置目标识别、周界防范、视频结构化、高空抛物等引擎模式</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一、目标识别应用：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支持目标抓拍、比对报警；支持以图搜图、按姓名检索、按属性检索</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目标名单库：支持64个名单库，名单库库容50万张；路人库库容30万张</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目标抓拍：96路视频流（4MP）</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目标比对：192路图片流</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目标客流：支持客流分析（图片流），支持8个客流统计组去重</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目标应用：签到、频次（高频、低频）</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单颗AI引擎分析能力：12路图片流；8路2MP/6路4MP/4路8MP视频流</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二、周界防范应用：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支持越界侦测、区域入侵、进入区域、离开区域智能事件报警及联动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视频流性能：168路视频流（2MP）</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图片流性能：256路</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单颗AI引擎分析能力：64路图片流；12路2MP/6路4MP/2路8MP视频流</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三、视频结构化应用：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支持人体目标抓拍、以图搜图以及属性检索；支持车牌识别、车牌库报警以及属性检索</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视频结构化性能：96路视频流（2MP）</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单颗AI引擎分析能力：6路2MP/3路4MP/2路8MP视频流</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四、高空抛物检测应用：</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支持后智能高空抛物检测，支持高空抛物轨迹展示、抛物事件录像和图片快速检索溯源</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高空抛物性能：128路视频流（4MP）</w:t>
            </w:r>
            <w:r>
              <w:rPr>
                <w:rFonts w:hint="eastAsia" w:ascii="仿宋" w:hAnsi="仿宋" w:eastAsia="仿宋" w:cs="宋体"/>
                <w:color w:val="212121"/>
                <w:sz w:val="28"/>
                <w:szCs w:val="28"/>
              </w:rPr>
              <w:br w:type="textWrapping"/>
            </w:r>
            <w:r>
              <w:rPr>
                <w:rFonts w:hint="eastAsia" w:ascii="仿宋" w:hAnsi="仿宋" w:eastAsia="仿宋" w:cs="宋体"/>
                <w:color w:val="212121"/>
                <w:sz w:val="28"/>
                <w:szCs w:val="28"/>
              </w:rPr>
              <w:t>单颗AI引擎分析能力：8路4MP/4路8MP视频流</w:t>
            </w:r>
          </w:p>
        </w:tc>
      </w:tr>
      <w:tr w14:paraId="467B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43" w:type="dxa"/>
            <w:gridSpan w:val="4"/>
            <w:shd w:val="clear" w:color="auto" w:fill="auto"/>
            <w:noWrap/>
            <w:vAlign w:val="center"/>
          </w:tcPr>
          <w:p w14:paraId="754A827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省级平台对接开发</w:t>
            </w:r>
          </w:p>
        </w:tc>
      </w:tr>
      <w:tr w14:paraId="3BB1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14:paraId="16003EE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23</w:t>
            </w:r>
          </w:p>
        </w:tc>
        <w:tc>
          <w:tcPr>
            <w:tcW w:w="1417" w:type="dxa"/>
            <w:shd w:val="clear" w:color="auto" w:fill="auto"/>
            <w:noWrap/>
            <w:vAlign w:val="center"/>
          </w:tcPr>
          <w:p w14:paraId="22792D62">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2160" w:type="dxa"/>
            <w:shd w:val="clear" w:color="auto" w:fill="auto"/>
            <w:noWrap/>
            <w:vAlign w:val="center"/>
          </w:tcPr>
          <w:p w14:paraId="1DCED4CE">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省级平台对接开发</w:t>
            </w:r>
          </w:p>
        </w:tc>
        <w:tc>
          <w:tcPr>
            <w:tcW w:w="5778" w:type="dxa"/>
            <w:shd w:val="clear" w:color="auto" w:fill="auto"/>
            <w:noWrap/>
            <w:vAlign w:val="center"/>
          </w:tcPr>
          <w:p w14:paraId="22C6B243">
            <w:pPr>
              <w:widowControl/>
              <w:jc w:val="left"/>
              <w:rPr>
                <w:rFonts w:hint="eastAsia" w:ascii="仿宋" w:hAnsi="仿宋" w:eastAsia="仿宋" w:cs="宋体"/>
                <w:kern w:val="0"/>
                <w:sz w:val="28"/>
                <w:szCs w:val="28"/>
              </w:rPr>
            </w:pPr>
            <w:r>
              <w:rPr>
                <w:rFonts w:hint="eastAsia" w:ascii="仿宋" w:hAnsi="仿宋" w:eastAsia="仿宋"/>
                <w:color w:val="212121"/>
                <w:sz w:val="28"/>
                <w:szCs w:val="28"/>
              </w:rPr>
              <w:t>根据江西省教育厅办公室赣教办函【2024】13号文件的要求，进行相关服务对接和软件开发工作。开发内容包括上传独立式光电感烟火灾探测报警器的</w:t>
            </w:r>
            <w:r>
              <w:rPr>
                <w:rFonts w:ascii="仿宋" w:hAnsi="仿宋" w:eastAsia="仿宋"/>
                <w:color w:val="212121"/>
                <w:sz w:val="28"/>
                <w:szCs w:val="28"/>
              </w:rPr>
              <w:t>报警</w:t>
            </w:r>
            <w:r>
              <w:rPr>
                <w:rFonts w:hint="eastAsia" w:ascii="仿宋" w:hAnsi="仿宋" w:eastAsia="仿宋"/>
                <w:color w:val="212121"/>
                <w:sz w:val="28"/>
                <w:szCs w:val="28"/>
              </w:rPr>
              <w:t>等。具体实施细则以江西省教育厅最新发布的指导文件为准。</w:t>
            </w:r>
          </w:p>
        </w:tc>
      </w:tr>
    </w:tbl>
    <w:p w14:paraId="4FDC5DFC">
      <w:pPr>
        <w:rPr>
          <w:rFonts w:hint="eastAsia" w:ascii="仿宋" w:hAnsi="仿宋" w:eastAsia="仿宋"/>
          <w:sz w:val="32"/>
          <w:szCs w:val="32"/>
        </w:rPr>
      </w:pPr>
    </w:p>
    <w:tbl>
      <w:tblPr>
        <w:tblStyle w:val="1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70"/>
        <w:gridCol w:w="1162"/>
        <w:gridCol w:w="7605"/>
      </w:tblGrid>
      <w:tr w14:paraId="4452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0BC71161">
            <w:pPr>
              <w:spacing w:line="276" w:lineRule="auto"/>
              <w:jc w:val="center"/>
              <w:rPr>
                <w:rFonts w:hint="eastAsia" w:ascii="仿宋" w:hAnsi="仿宋" w:eastAsia="仿宋"/>
                <w:bCs/>
                <w:sz w:val="28"/>
                <w:szCs w:val="28"/>
              </w:rPr>
            </w:pPr>
            <w:r>
              <w:rPr>
                <w:rFonts w:hint="eastAsia" w:ascii="仿宋" w:hAnsi="仿宋" w:eastAsia="仿宋"/>
                <w:bCs/>
                <w:sz w:val="28"/>
                <w:szCs w:val="28"/>
              </w:rPr>
              <w:t>序号</w:t>
            </w:r>
          </w:p>
        </w:tc>
        <w:tc>
          <w:tcPr>
            <w:tcW w:w="870" w:type="dxa"/>
            <w:shd w:val="clear" w:color="auto" w:fill="auto"/>
            <w:vAlign w:val="center"/>
          </w:tcPr>
          <w:p w14:paraId="6EF27ED7">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重要性</w:t>
            </w:r>
          </w:p>
        </w:tc>
        <w:tc>
          <w:tcPr>
            <w:tcW w:w="1162" w:type="dxa"/>
            <w:shd w:val="clear" w:color="auto" w:fill="auto"/>
            <w:vAlign w:val="center"/>
          </w:tcPr>
          <w:p w14:paraId="67F8FEAE">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指标项</w:t>
            </w:r>
          </w:p>
        </w:tc>
        <w:tc>
          <w:tcPr>
            <w:tcW w:w="7605" w:type="dxa"/>
            <w:shd w:val="clear" w:color="auto" w:fill="auto"/>
            <w:vAlign w:val="center"/>
          </w:tcPr>
          <w:p w14:paraId="564F4DB9">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指标要求</w:t>
            </w:r>
          </w:p>
        </w:tc>
      </w:tr>
      <w:tr w14:paraId="3A12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2B71EB0A">
            <w:pPr>
              <w:spacing w:line="276" w:lineRule="auto"/>
              <w:jc w:val="center"/>
              <w:rPr>
                <w:rFonts w:hint="eastAsia" w:ascii="仿宋" w:hAnsi="仿宋" w:eastAsia="仿宋"/>
                <w:bCs/>
                <w:sz w:val="28"/>
                <w:szCs w:val="28"/>
              </w:rPr>
            </w:pPr>
            <w:r>
              <w:rPr>
                <w:rFonts w:hint="eastAsia" w:ascii="仿宋" w:hAnsi="仿宋" w:eastAsia="仿宋"/>
                <w:bCs/>
                <w:sz w:val="28"/>
                <w:szCs w:val="28"/>
              </w:rPr>
              <w:t>1</w:t>
            </w:r>
          </w:p>
        </w:tc>
        <w:tc>
          <w:tcPr>
            <w:tcW w:w="870" w:type="dxa"/>
            <w:shd w:val="clear" w:color="auto" w:fill="auto"/>
            <w:vAlign w:val="center"/>
          </w:tcPr>
          <w:p w14:paraId="4C52B6AC">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1C36CEBC">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服务器</w:t>
            </w:r>
          </w:p>
        </w:tc>
        <w:tc>
          <w:tcPr>
            <w:tcW w:w="7605" w:type="dxa"/>
            <w:shd w:val="clear" w:color="auto" w:fill="auto"/>
            <w:vAlign w:val="center"/>
          </w:tcPr>
          <w:p w14:paraId="7DA5CB80">
            <w:pPr>
              <w:spacing w:line="276" w:lineRule="auto"/>
              <w:rPr>
                <w:rFonts w:hint="eastAsia" w:ascii="仿宋" w:hAnsi="仿宋" w:eastAsia="仿宋"/>
                <w:bCs/>
                <w:sz w:val="28"/>
                <w:szCs w:val="28"/>
              </w:rPr>
            </w:pPr>
            <w:r>
              <w:rPr>
                <w:rFonts w:hint="eastAsia" w:ascii="仿宋" w:hAnsi="仿宋" w:eastAsia="仿宋"/>
                <w:bCs/>
                <w:sz w:val="28"/>
                <w:szCs w:val="28"/>
              </w:rPr>
              <w:t>1、为保障数据的安全性，所投服务器设备需通过 GB/T 39680-2020《信息安全技术服务器安全技术要求和测评准则》（增强级）。</w:t>
            </w:r>
          </w:p>
          <w:p w14:paraId="3CA167A1">
            <w:pPr>
              <w:spacing w:line="276" w:lineRule="auto"/>
              <w:rPr>
                <w:rFonts w:hint="eastAsia" w:ascii="仿宋" w:hAnsi="仿宋" w:eastAsia="仿宋"/>
                <w:bCs/>
                <w:sz w:val="28"/>
                <w:szCs w:val="28"/>
              </w:rPr>
            </w:pPr>
            <w:r>
              <w:rPr>
                <w:rFonts w:hint="eastAsia" w:ascii="仿宋" w:hAnsi="仿宋" w:eastAsia="仿宋"/>
                <w:bCs/>
                <w:sz w:val="28"/>
                <w:szCs w:val="28"/>
              </w:rPr>
              <w:t>3、为确保服务器系统可靠，服务器支持对内存ECC功能测试和加快RAID5数据恢复的功能。</w:t>
            </w:r>
          </w:p>
        </w:tc>
      </w:tr>
      <w:tr w14:paraId="2F9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6C621458">
            <w:pPr>
              <w:spacing w:line="276" w:lineRule="auto"/>
              <w:jc w:val="center"/>
              <w:rPr>
                <w:rFonts w:hint="eastAsia" w:ascii="仿宋" w:hAnsi="仿宋" w:eastAsia="仿宋"/>
                <w:bCs/>
                <w:sz w:val="28"/>
                <w:szCs w:val="28"/>
              </w:rPr>
            </w:pPr>
            <w:r>
              <w:rPr>
                <w:rFonts w:hint="eastAsia" w:ascii="仿宋" w:hAnsi="仿宋" w:eastAsia="仿宋"/>
                <w:bCs/>
                <w:sz w:val="28"/>
                <w:szCs w:val="28"/>
              </w:rPr>
              <w:t>2</w:t>
            </w:r>
          </w:p>
        </w:tc>
        <w:tc>
          <w:tcPr>
            <w:tcW w:w="870" w:type="dxa"/>
            <w:shd w:val="clear" w:color="auto" w:fill="auto"/>
            <w:vAlign w:val="center"/>
          </w:tcPr>
          <w:p w14:paraId="09B37752">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44F5484D">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用户信息传输装置</w:t>
            </w:r>
          </w:p>
        </w:tc>
        <w:tc>
          <w:tcPr>
            <w:tcW w:w="7605" w:type="dxa"/>
            <w:shd w:val="clear" w:color="auto" w:fill="auto"/>
            <w:vAlign w:val="center"/>
          </w:tcPr>
          <w:p w14:paraId="518CCE40">
            <w:pPr>
              <w:widowControl/>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可选配无线模块，让本机作为无线网关使用。</w:t>
            </w:r>
          </w:p>
        </w:tc>
      </w:tr>
      <w:tr w14:paraId="23C8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4D21EEB9">
            <w:pPr>
              <w:spacing w:line="276" w:lineRule="auto"/>
              <w:jc w:val="center"/>
              <w:rPr>
                <w:rFonts w:hint="eastAsia" w:ascii="仿宋" w:hAnsi="仿宋" w:eastAsia="仿宋"/>
                <w:bCs/>
                <w:sz w:val="28"/>
                <w:szCs w:val="28"/>
              </w:rPr>
            </w:pPr>
            <w:r>
              <w:rPr>
                <w:rFonts w:hint="eastAsia" w:ascii="仿宋" w:hAnsi="仿宋" w:eastAsia="仿宋"/>
                <w:bCs/>
                <w:sz w:val="28"/>
                <w:szCs w:val="28"/>
              </w:rPr>
              <w:t>3</w:t>
            </w:r>
          </w:p>
        </w:tc>
        <w:tc>
          <w:tcPr>
            <w:tcW w:w="870" w:type="dxa"/>
            <w:shd w:val="clear" w:color="auto" w:fill="auto"/>
            <w:vAlign w:val="center"/>
          </w:tcPr>
          <w:p w14:paraId="29CFFEEF">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2B73D47E">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火灾报警控制器</w:t>
            </w:r>
          </w:p>
        </w:tc>
        <w:tc>
          <w:tcPr>
            <w:tcW w:w="7605" w:type="dxa"/>
            <w:shd w:val="clear" w:color="auto" w:fill="auto"/>
            <w:vAlign w:val="center"/>
          </w:tcPr>
          <w:p w14:paraId="75F47D75">
            <w:pPr>
              <w:spacing w:line="276" w:lineRule="auto"/>
              <w:rPr>
                <w:rFonts w:hint="eastAsia" w:ascii="仿宋" w:hAnsi="仿宋" w:eastAsia="仿宋"/>
                <w:color w:val="212121"/>
                <w:sz w:val="28"/>
                <w:szCs w:val="28"/>
              </w:rPr>
            </w:pPr>
            <w:r>
              <w:rPr>
                <w:rFonts w:hint="eastAsia" w:ascii="仿宋" w:hAnsi="仿宋" w:eastAsia="仿宋" w:cs="宋体"/>
                <w:bCs/>
                <w:color w:val="212121"/>
                <w:sz w:val="28"/>
                <w:szCs w:val="28"/>
              </w:rPr>
              <w:t>能够显示无线中继器网络拓扑图、设备信号强度实时查询、电池电量实时查询。支持无线系统、有线系统混合接入。系统支持语音型火灾声光警报器接入，可实现蜂鸣及语音交替提示人员疏散。</w:t>
            </w:r>
          </w:p>
        </w:tc>
      </w:tr>
      <w:tr w14:paraId="1407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7E8088FD">
            <w:pPr>
              <w:spacing w:line="276" w:lineRule="auto"/>
              <w:jc w:val="center"/>
              <w:rPr>
                <w:rFonts w:hint="eastAsia" w:ascii="仿宋" w:hAnsi="仿宋" w:eastAsia="仿宋"/>
                <w:bCs/>
                <w:sz w:val="28"/>
                <w:szCs w:val="28"/>
              </w:rPr>
            </w:pPr>
            <w:r>
              <w:rPr>
                <w:rFonts w:hint="eastAsia" w:ascii="仿宋" w:hAnsi="仿宋" w:eastAsia="仿宋"/>
                <w:bCs/>
                <w:sz w:val="28"/>
                <w:szCs w:val="28"/>
              </w:rPr>
              <w:t>4</w:t>
            </w:r>
          </w:p>
        </w:tc>
        <w:tc>
          <w:tcPr>
            <w:tcW w:w="870" w:type="dxa"/>
            <w:shd w:val="clear" w:color="auto" w:fill="auto"/>
            <w:vAlign w:val="center"/>
          </w:tcPr>
          <w:p w14:paraId="24144F7E">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3A3A58BC">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color w:val="212121"/>
                <w:sz w:val="28"/>
                <w:szCs w:val="28"/>
              </w:rPr>
              <w:t>独立式火灾探测报警器（1期增补</w:t>
            </w:r>
          </w:p>
        </w:tc>
        <w:tc>
          <w:tcPr>
            <w:tcW w:w="7605" w:type="dxa"/>
            <w:shd w:val="clear" w:color="auto" w:fill="auto"/>
            <w:vAlign w:val="center"/>
          </w:tcPr>
          <w:p w14:paraId="01318713">
            <w:pPr>
              <w:widowControl/>
              <w:spacing w:line="276" w:lineRule="auto"/>
              <w:rPr>
                <w:rFonts w:hint="eastAsia" w:ascii="仿宋" w:hAnsi="仿宋" w:eastAsia="仿宋"/>
                <w:bCs/>
                <w:color w:val="212121"/>
                <w:sz w:val="28"/>
                <w:szCs w:val="28"/>
              </w:rPr>
            </w:pPr>
            <w:r>
              <w:rPr>
                <w:rFonts w:hint="eastAsia" w:ascii="仿宋" w:hAnsi="仿宋" w:eastAsia="仿宋"/>
                <w:bCs/>
                <w:color w:val="212121"/>
                <w:sz w:val="28"/>
                <w:szCs w:val="28"/>
              </w:rPr>
              <w:t>具有底座防拆功能，需要通过金属按住防拆点才能拆除或类似方法才能进行底座分离。</w:t>
            </w:r>
          </w:p>
        </w:tc>
      </w:tr>
      <w:tr w14:paraId="671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0A5154E5">
            <w:pPr>
              <w:spacing w:line="276" w:lineRule="auto"/>
              <w:jc w:val="center"/>
              <w:rPr>
                <w:rFonts w:hint="eastAsia" w:ascii="仿宋" w:hAnsi="仿宋" w:eastAsia="仿宋"/>
                <w:bCs/>
                <w:sz w:val="28"/>
                <w:szCs w:val="28"/>
              </w:rPr>
            </w:pPr>
            <w:r>
              <w:rPr>
                <w:rFonts w:hint="eastAsia" w:ascii="仿宋" w:hAnsi="仿宋" w:eastAsia="仿宋"/>
                <w:bCs/>
                <w:sz w:val="28"/>
                <w:szCs w:val="28"/>
              </w:rPr>
              <w:t>5</w:t>
            </w:r>
          </w:p>
        </w:tc>
        <w:tc>
          <w:tcPr>
            <w:tcW w:w="870" w:type="dxa"/>
            <w:shd w:val="clear" w:color="auto" w:fill="auto"/>
            <w:vAlign w:val="center"/>
          </w:tcPr>
          <w:p w14:paraId="6D329660">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48BFE220">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无线中继器</w:t>
            </w:r>
          </w:p>
        </w:tc>
        <w:tc>
          <w:tcPr>
            <w:tcW w:w="7605" w:type="dxa"/>
            <w:shd w:val="clear" w:color="auto" w:fill="auto"/>
            <w:vAlign w:val="center"/>
          </w:tcPr>
          <w:p w14:paraId="0452CC35">
            <w:pPr>
              <w:spacing w:line="276" w:lineRule="auto"/>
              <w:rPr>
                <w:rFonts w:hint="eastAsia" w:ascii="仿宋" w:hAnsi="仿宋" w:eastAsia="仿宋" w:cs="宋体"/>
                <w:color w:val="212121"/>
                <w:sz w:val="28"/>
                <w:szCs w:val="28"/>
              </w:rPr>
            </w:pPr>
            <w:r>
              <w:rPr>
                <w:rFonts w:hint="eastAsia" w:ascii="仿宋" w:hAnsi="仿宋" w:eastAsia="仿宋" w:cs="宋体"/>
                <w:color w:val="212121"/>
                <w:sz w:val="28"/>
                <w:szCs w:val="28"/>
              </w:rPr>
              <w:t>1.具有一个工作状态指示灯，正常监视状态时绿色常亮；具有一个无线通信工作状态指示灯，正常通信状态时绿色闪亮；具有一个故障指示灯，故障状态时黄色常亮</w:t>
            </w:r>
          </w:p>
          <w:p w14:paraId="7EA37228">
            <w:pPr>
              <w:spacing w:line="276" w:lineRule="auto"/>
              <w:rPr>
                <w:rFonts w:hint="eastAsia" w:ascii="仿宋" w:hAnsi="仿宋" w:eastAsia="仿宋" w:cs="宋体"/>
                <w:color w:val="212121"/>
                <w:sz w:val="28"/>
                <w:szCs w:val="28"/>
              </w:rPr>
            </w:pPr>
            <w:r>
              <w:rPr>
                <w:rFonts w:hint="eastAsia" w:ascii="仿宋" w:hAnsi="仿宋" w:eastAsia="仿宋" w:cs="宋体"/>
                <w:color w:val="212121"/>
                <w:sz w:val="28"/>
                <w:szCs w:val="28"/>
              </w:rPr>
              <w:t>2.具有不少于10级级联功能，并且可以在</w:t>
            </w:r>
            <w:r>
              <w:rPr>
                <w:rFonts w:hint="eastAsia" w:ascii="仿宋" w:hAnsi="仿宋" w:eastAsia="仿宋"/>
                <w:color w:val="212121"/>
                <w:sz w:val="28"/>
                <w:szCs w:val="28"/>
              </w:rPr>
              <w:t>火灾报警控制器上查看级联拓扑，当级联中的任意一个无线中继器离线，在火灾报警控制器上能够显示离线信息</w:t>
            </w:r>
            <w:r>
              <w:rPr>
                <w:rFonts w:hint="eastAsia" w:ascii="仿宋" w:hAnsi="仿宋" w:eastAsia="仿宋" w:cs="宋体"/>
                <w:color w:val="212121"/>
                <w:sz w:val="28"/>
                <w:szCs w:val="28"/>
              </w:rPr>
              <w:t>。</w:t>
            </w:r>
          </w:p>
        </w:tc>
      </w:tr>
      <w:tr w14:paraId="5CE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31905346">
            <w:pPr>
              <w:spacing w:line="276" w:lineRule="auto"/>
              <w:jc w:val="center"/>
              <w:rPr>
                <w:rFonts w:hint="eastAsia" w:ascii="仿宋" w:hAnsi="仿宋" w:eastAsia="仿宋"/>
                <w:bCs/>
                <w:sz w:val="28"/>
                <w:szCs w:val="28"/>
              </w:rPr>
            </w:pPr>
            <w:r>
              <w:rPr>
                <w:rFonts w:hint="eastAsia" w:ascii="仿宋" w:hAnsi="仿宋" w:eastAsia="仿宋"/>
                <w:bCs/>
                <w:sz w:val="28"/>
                <w:szCs w:val="28"/>
              </w:rPr>
              <w:t>6</w:t>
            </w:r>
          </w:p>
        </w:tc>
        <w:tc>
          <w:tcPr>
            <w:tcW w:w="870" w:type="dxa"/>
            <w:shd w:val="clear" w:color="auto" w:fill="auto"/>
            <w:vAlign w:val="center"/>
          </w:tcPr>
          <w:p w14:paraId="08D76DF0">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4BA14AEE">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bCs/>
                <w:kern w:val="0"/>
                <w:sz w:val="28"/>
                <w:szCs w:val="28"/>
              </w:rPr>
              <w:t>汇聚交换机</w:t>
            </w:r>
          </w:p>
        </w:tc>
        <w:tc>
          <w:tcPr>
            <w:tcW w:w="7605" w:type="dxa"/>
            <w:shd w:val="clear" w:color="auto" w:fill="auto"/>
            <w:vAlign w:val="center"/>
          </w:tcPr>
          <w:p w14:paraId="1222EBAE">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1、支持CPP功能，实现CPU使用率降低到10%以内；除ARP以外，CPP功能还能限制多种类型的送CPU速率。</w:t>
            </w:r>
          </w:p>
          <w:p w14:paraId="05C475E4">
            <w:pPr>
              <w:spacing w:line="276" w:lineRule="auto"/>
              <w:rPr>
                <w:rFonts w:hint="eastAsia" w:ascii="仿宋" w:hAnsi="仿宋" w:eastAsia="仿宋" w:cs="宋体"/>
                <w:color w:val="212121"/>
                <w:sz w:val="28"/>
                <w:szCs w:val="28"/>
              </w:rPr>
            </w:pPr>
            <w:r>
              <w:rPr>
                <w:rFonts w:hint="eastAsia" w:ascii="仿宋" w:hAnsi="仿宋" w:eastAsia="仿宋" w:cs="宋体"/>
                <w:bCs/>
                <w:kern w:val="0"/>
                <w:sz w:val="28"/>
                <w:szCs w:val="28"/>
              </w:rPr>
              <w:t>2、支持NFPP功能，可以查看到被隔离的两个主机；主机被隔离，ARP报文不会再转发，也不再应答。</w:t>
            </w:r>
          </w:p>
        </w:tc>
      </w:tr>
      <w:tr w14:paraId="481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75DCA76D">
            <w:pPr>
              <w:spacing w:line="276" w:lineRule="auto"/>
              <w:jc w:val="center"/>
              <w:rPr>
                <w:rFonts w:hint="eastAsia" w:ascii="仿宋" w:hAnsi="仿宋" w:eastAsia="仿宋"/>
                <w:bCs/>
                <w:sz w:val="28"/>
                <w:szCs w:val="28"/>
              </w:rPr>
            </w:pPr>
            <w:r>
              <w:rPr>
                <w:rFonts w:hint="eastAsia" w:ascii="仿宋" w:hAnsi="仿宋" w:eastAsia="仿宋"/>
                <w:bCs/>
                <w:sz w:val="28"/>
                <w:szCs w:val="28"/>
              </w:rPr>
              <w:t>7</w:t>
            </w:r>
          </w:p>
        </w:tc>
        <w:tc>
          <w:tcPr>
            <w:tcW w:w="870" w:type="dxa"/>
            <w:shd w:val="clear" w:color="auto" w:fill="auto"/>
            <w:vAlign w:val="center"/>
          </w:tcPr>
          <w:p w14:paraId="2D100539">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5AA522AA">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地图数据引擎</w:t>
            </w:r>
          </w:p>
        </w:tc>
        <w:tc>
          <w:tcPr>
            <w:tcW w:w="7605" w:type="dxa"/>
            <w:shd w:val="clear" w:color="auto" w:fill="auto"/>
            <w:vAlign w:val="center"/>
          </w:tcPr>
          <w:p w14:paraId="0C2FAE20">
            <w:pPr>
              <w:widowControl/>
              <w:spacing w:line="276" w:lineRule="auto"/>
              <w:jc w:val="left"/>
              <w:rPr>
                <w:rFonts w:hint="eastAsia" w:ascii="仿宋" w:hAnsi="仿宋" w:eastAsia="仿宋" w:cs="宋体"/>
                <w:color w:val="212121"/>
                <w:kern w:val="0"/>
                <w:sz w:val="28"/>
                <w:szCs w:val="28"/>
              </w:rPr>
            </w:pPr>
            <w:r>
              <w:rPr>
                <w:rFonts w:hint="eastAsia" w:ascii="仿宋" w:hAnsi="仿宋" w:eastAsia="仿宋" w:cs="宋体"/>
                <w:color w:val="212121"/>
                <w:kern w:val="0"/>
                <w:sz w:val="28"/>
                <w:szCs w:val="28"/>
              </w:rPr>
              <w:t>1、支持经纬度坐标与仿真三维地图坐标的转换，能与卫星图、二维图进行坐标转换。本条提供视频功能演示，需体现导航线路在仿真三维地图、卫星图、二维图之间切换时，线路能正确切换、不发生偏移；</w:t>
            </w:r>
          </w:p>
          <w:p w14:paraId="1C37B75A">
            <w:pPr>
              <w:widowControl/>
              <w:spacing w:line="276" w:lineRule="auto"/>
              <w:jc w:val="left"/>
              <w:rPr>
                <w:rFonts w:hint="eastAsia" w:ascii="仿宋" w:hAnsi="仿宋" w:eastAsia="仿宋" w:cs="宋体"/>
                <w:bCs/>
                <w:color w:val="212121"/>
                <w:kern w:val="0"/>
                <w:sz w:val="28"/>
                <w:szCs w:val="28"/>
              </w:rPr>
            </w:pPr>
            <w:r>
              <w:rPr>
                <w:rFonts w:hint="eastAsia" w:ascii="仿宋" w:hAnsi="仿宋" w:eastAsia="仿宋" w:cs="宋体"/>
                <w:color w:val="212121"/>
                <w:kern w:val="0"/>
                <w:sz w:val="28"/>
                <w:szCs w:val="28"/>
              </w:rPr>
              <w:t>2、支持在网页上三维场景展现。本条提供视频功能演示，需体现室内三维地图的单楼层展现与室内三维地图的全部楼层叠加展现。</w:t>
            </w:r>
          </w:p>
        </w:tc>
      </w:tr>
      <w:tr w14:paraId="207A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7AC5DBFE">
            <w:pPr>
              <w:spacing w:line="276" w:lineRule="auto"/>
              <w:jc w:val="center"/>
              <w:rPr>
                <w:rFonts w:hint="eastAsia" w:ascii="仿宋" w:hAnsi="仿宋" w:eastAsia="仿宋"/>
                <w:bCs/>
                <w:sz w:val="28"/>
                <w:szCs w:val="28"/>
              </w:rPr>
            </w:pPr>
            <w:r>
              <w:rPr>
                <w:rFonts w:hint="eastAsia" w:ascii="仿宋" w:hAnsi="仿宋" w:eastAsia="仿宋"/>
                <w:bCs/>
                <w:sz w:val="28"/>
                <w:szCs w:val="28"/>
              </w:rPr>
              <w:t>8</w:t>
            </w:r>
          </w:p>
        </w:tc>
        <w:tc>
          <w:tcPr>
            <w:tcW w:w="870" w:type="dxa"/>
            <w:shd w:val="clear" w:color="auto" w:fill="auto"/>
            <w:vAlign w:val="center"/>
          </w:tcPr>
          <w:p w14:paraId="13958D45">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6B595C6B">
            <w:pPr>
              <w:widowControl/>
              <w:spacing w:line="276" w:lineRule="auto"/>
              <w:jc w:val="center"/>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室外消火栓压力采集终端(含三年流量费)</w:t>
            </w:r>
          </w:p>
        </w:tc>
        <w:tc>
          <w:tcPr>
            <w:tcW w:w="7605" w:type="dxa"/>
            <w:shd w:val="clear" w:color="auto" w:fill="auto"/>
            <w:vAlign w:val="center"/>
          </w:tcPr>
          <w:p w14:paraId="5E3B523B">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1.支持断网自动重连、缓存累计上发、数据补发等功能。</w:t>
            </w:r>
          </w:p>
          <w:p w14:paraId="24CE87DD">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2.支持定时传输，记录存储打包传输，异常事件告警。</w:t>
            </w:r>
          </w:p>
          <w:p w14:paraId="223EE860">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3.具备开机后可实时显示压力值，电池电量，上发进度，信号强度，显示实时时间，显示上发进度和状态。</w:t>
            </w:r>
          </w:p>
          <w:p w14:paraId="62658277">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4.设备可现场通过蓝牙小程序查看当前值，信号强度、剩余电量、传输状态，上发次数，上发间隔等设备状态信息。</w:t>
            </w:r>
          </w:p>
          <w:p w14:paraId="6B4AF608">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5.可现场通过蓝牙小程序支持设备固件升级，设备自身检测，设备综合性能健康度诊断，设备仿真。</w:t>
            </w:r>
          </w:p>
          <w:p w14:paraId="35CD72D7">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6.具有低电量报警、高低压报警、波动报警设置等报警功能。</w:t>
            </w:r>
          </w:p>
          <w:p w14:paraId="25BB652B">
            <w:pPr>
              <w:widowControl/>
              <w:spacing w:line="276" w:lineRule="auto"/>
              <w:rPr>
                <w:rFonts w:hint="eastAsia" w:ascii="仿宋" w:hAnsi="仿宋" w:eastAsia="仿宋" w:cs="宋体"/>
                <w:bCs/>
                <w:color w:val="212121"/>
                <w:kern w:val="0"/>
                <w:sz w:val="28"/>
                <w:szCs w:val="28"/>
              </w:rPr>
            </w:pPr>
            <w:r>
              <w:rPr>
                <w:rFonts w:hint="eastAsia" w:ascii="仿宋" w:hAnsi="仿宋" w:eastAsia="仿宋" w:cs="宋体"/>
                <w:bCs/>
                <w:color w:val="212121"/>
                <w:kern w:val="0"/>
                <w:sz w:val="28"/>
                <w:szCs w:val="28"/>
              </w:rPr>
              <w:t>7.支持平台远程参数配置，平台远程固件升级。</w:t>
            </w:r>
          </w:p>
        </w:tc>
      </w:tr>
      <w:tr w14:paraId="55E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218279B0">
            <w:pPr>
              <w:spacing w:line="276" w:lineRule="auto"/>
              <w:jc w:val="center"/>
              <w:rPr>
                <w:rFonts w:hint="eastAsia" w:ascii="仿宋" w:hAnsi="仿宋" w:eastAsia="仿宋"/>
                <w:bCs/>
                <w:sz w:val="28"/>
                <w:szCs w:val="28"/>
              </w:rPr>
            </w:pPr>
            <w:r>
              <w:rPr>
                <w:rFonts w:hint="eastAsia" w:ascii="仿宋" w:hAnsi="仿宋" w:eastAsia="仿宋"/>
                <w:bCs/>
                <w:sz w:val="28"/>
                <w:szCs w:val="28"/>
              </w:rPr>
              <w:t>9</w:t>
            </w:r>
          </w:p>
        </w:tc>
        <w:tc>
          <w:tcPr>
            <w:tcW w:w="870" w:type="dxa"/>
            <w:shd w:val="clear" w:color="auto" w:fill="auto"/>
            <w:vAlign w:val="center"/>
          </w:tcPr>
          <w:p w14:paraId="25831D18">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31FFF87D">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AI分析服务器</w:t>
            </w:r>
          </w:p>
        </w:tc>
        <w:tc>
          <w:tcPr>
            <w:tcW w:w="7605" w:type="dxa"/>
            <w:shd w:val="clear" w:color="auto" w:fill="auto"/>
            <w:vAlign w:val="center"/>
          </w:tcPr>
          <w:p w14:paraId="43EC93EC">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1、支持基础周界报警/大模型周界报警过滤功能，对IPC上报越界侦测报警和区域入侵报警进行去误报，在特定条件下，可去除由树叶、灯光、车辆、阴影以及小动物引起的误报。支持设置检测目标类型，包括人体、车辆。</w:t>
            </w:r>
          </w:p>
          <w:p w14:paraId="65F3ADA2">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2、可通过设备本地GUI画面、电脑客户端和手机客户端展示高空抛物事件，并支持回放高空抛物轨迹信息，支持联动录像、抓图、蜂鸣报警、预置点、邮件、本地报警输出、IPC报警输出以及日志记录。</w:t>
            </w:r>
          </w:p>
          <w:p w14:paraId="50590514">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3、支持将预览监视画面和回放画面进行视频冻结，通过手动和自动的方式框选人/车目标，将所选目标与数据库中的历史目标抓拍数据进行比对检索。检索结果可根据相似度或抓拍时间进行排序展示。</w:t>
            </w:r>
          </w:p>
        </w:tc>
      </w:tr>
      <w:tr w14:paraId="1258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1B3A8B0C">
            <w:pPr>
              <w:spacing w:line="276" w:lineRule="auto"/>
              <w:jc w:val="center"/>
              <w:rPr>
                <w:rFonts w:hint="eastAsia" w:ascii="仿宋" w:hAnsi="仿宋" w:eastAsia="仿宋"/>
                <w:bCs/>
                <w:sz w:val="28"/>
                <w:szCs w:val="28"/>
              </w:rPr>
            </w:pPr>
            <w:r>
              <w:rPr>
                <w:rFonts w:hint="eastAsia" w:ascii="仿宋" w:hAnsi="仿宋" w:eastAsia="仿宋"/>
                <w:bCs/>
                <w:sz w:val="28"/>
                <w:szCs w:val="28"/>
              </w:rPr>
              <w:t>10</w:t>
            </w:r>
          </w:p>
        </w:tc>
        <w:tc>
          <w:tcPr>
            <w:tcW w:w="870" w:type="dxa"/>
            <w:shd w:val="clear" w:color="auto" w:fill="auto"/>
            <w:vAlign w:val="center"/>
          </w:tcPr>
          <w:p w14:paraId="2FF5122B">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w:t>
            </w:r>
          </w:p>
        </w:tc>
        <w:tc>
          <w:tcPr>
            <w:tcW w:w="1162" w:type="dxa"/>
            <w:shd w:val="clear" w:color="auto" w:fill="auto"/>
            <w:vAlign w:val="center"/>
          </w:tcPr>
          <w:p w14:paraId="67C6C80C">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施工方案</w:t>
            </w:r>
          </w:p>
        </w:tc>
        <w:tc>
          <w:tcPr>
            <w:tcW w:w="7605" w:type="dxa"/>
            <w:shd w:val="clear" w:color="auto" w:fill="auto"/>
            <w:vAlign w:val="center"/>
          </w:tcPr>
          <w:p w14:paraId="34AEC042">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供应商针对本项目编制实施方案，实施方案中需明确列出如下内容：</w:t>
            </w:r>
          </w:p>
          <w:p w14:paraId="2F128370">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1.项目整体组织部署；</w:t>
            </w:r>
          </w:p>
          <w:p w14:paraId="744922E5">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2.项目进度计划及工期保证措施；</w:t>
            </w:r>
          </w:p>
          <w:p w14:paraId="34CCA8C6">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3.劳动力安排与保障措施；</w:t>
            </w:r>
          </w:p>
          <w:p w14:paraId="2ACB3601">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4.项目质量保证和技术措施；</w:t>
            </w:r>
          </w:p>
          <w:p w14:paraId="4FF558B0">
            <w:pPr>
              <w:widowControl/>
              <w:spacing w:line="276" w:lineRule="auto"/>
              <w:rPr>
                <w:rFonts w:hint="eastAsia" w:ascii="仿宋" w:hAnsi="仿宋" w:eastAsia="仿宋" w:cs="宋体"/>
                <w:bCs/>
                <w:kern w:val="0"/>
                <w:sz w:val="28"/>
                <w:szCs w:val="28"/>
              </w:rPr>
            </w:pPr>
            <w:r>
              <w:rPr>
                <w:rFonts w:hint="eastAsia" w:ascii="仿宋" w:hAnsi="仿宋" w:eastAsia="仿宋" w:cs="宋体"/>
                <w:bCs/>
                <w:kern w:val="0"/>
                <w:sz w:val="28"/>
                <w:szCs w:val="28"/>
              </w:rPr>
              <w:t>5.安全文明施工措施。</w:t>
            </w:r>
          </w:p>
        </w:tc>
      </w:tr>
    </w:tbl>
    <w:p w14:paraId="47807561">
      <w:pPr>
        <w:rPr>
          <w:rFonts w:hint="eastAsia" w:ascii="仿宋" w:hAnsi="仿宋" w:eastAsia="仿宋"/>
          <w:sz w:val="32"/>
          <w:szCs w:val="32"/>
        </w:rPr>
      </w:pPr>
    </w:p>
    <w:tbl>
      <w:tblPr>
        <w:tblStyle w:val="1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70"/>
        <w:gridCol w:w="1162"/>
        <w:gridCol w:w="7605"/>
      </w:tblGrid>
      <w:tr w14:paraId="5CFF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689E4E7C">
            <w:pPr>
              <w:spacing w:line="276" w:lineRule="auto"/>
              <w:jc w:val="center"/>
              <w:rPr>
                <w:rFonts w:hint="eastAsia" w:ascii="仿宋" w:hAnsi="仿宋" w:eastAsia="仿宋"/>
                <w:bCs/>
                <w:sz w:val="28"/>
                <w:szCs w:val="28"/>
              </w:rPr>
            </w:pPr>
            <w:r>
              <w:rPr>
                <w:rFonts w:hint="eastAsia" w:ascii="仿宋" w:hAnsi="仿宋" w:eastAsia="仿宋"/>
                <w:bCs/>
                <w:sz w:val="28"/>
                <w:szCs w:val="28"/>
              </w:rPr>
              <w:t>序号</w:t>
            </w:r>
          </w:p>
        </w:tc>
        <w:tc>
          <w:tcPr>
            <w:tcW w:w="870" w:type="dxa"/>
            <w:vAlign w:val="center"/>
          </w:tcPr>
          <w:p w14:paraId="1C35E243">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重要性</w:t>
            </w:r>
          </w:p>
        </w:tc>
        <w:tc>
          <w:tcPr>
            <w:tcW w:w="1162" w:type="dxa"/>
            <w:vAlign w:val="center"/>
          </w:tcPr>
          <w:p w14:paraId="5A35D771">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指标项</w:t>
            </w:r>
          </w:p>
        </w:tc>
        <w:tc>
          <w:tcPr>
            <w:tcW w:w="7605" w:type="dxa"/>
            <w:vAlign w:val="center"/>
          </w:tcPr>
          <w:p w14:paraId="5E96DF3E">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指标要求</w:t>
            </w:r>
          </w:p>
        </w:tc>
      </w:tr>
      <w:tr w14:paraId="2AFF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469B29AB">
            <w:pPr>
              <w:spacing w:line="276" w:lineRule="auto"/>
              <w:jc w:val="center"/>
              <w:rPr>
                <w:rFonts w:hint="eastAsia" w:ascii="仿宋" w:hAnsi="仿宋" w:eastAsia="仿宋"/>
                <w:bCs/>
                <w:sz w:val="28"/>
                <w:szCs w:val="28"/>
              </w:rPr>
            </w:pPr>
            <w:r>
              <w:rPr>
                <w:rFonts w:hint="eastAsia" w:ascii="仿宋" w:hAnsi="仿宋" w:eastAsia="仿宋"/>
                <w:bCs/>
                <w:sz w:val="28"/>
                <w:szCs w:val="28"/>
              </w:rPr>
              <w:t>1</w:t>
            </w:r>
          </w:p>
        </w:tc>
        <w:tc>
          <w:tcPr>
            <w:tcW w:w="870" w:type="dxa"/>
            <w:vAlign w:val="center"/>
          </w:tcPr>
          <w:p w14:paraId="499A627B">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42C0EEF6">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服务器</w:t>
            </w:r>
          </w:p>
        </w:tc>
        <w:tc>
          <w:tcPr>
            <w:tcW w:w="7605" w:type="dxa"/>
            <w:vAlign w:val="center"/>
          </w:tcPr>
          <w:p w14:paraId="74D859F3">
            <w:pPr>
              <w:spacing w:line="276" w:lineRule="auto"/>
              <w:rPr>
                <w:rFonts w:hint="eastAsia" w:ascii="仿宋" w:hAnsi="仿宋" w:eastAsia="仿宋"/>
                <w:bCs/>
                <w:sz w:val="28"/>
                <w:szCs w:val="28"/>
              </w:rPr>
            </w:pPr>
            <w:r>
              <w:rPr>
                <w:rFonts w:hint="eastAsia" w:ascii="仿宋" w:hAnsi="仿宋" w:eastAsia="仿宋"/>
                <w:bCs/>
                <w:sz w:val="28"/>
                <w:szCs w:val="28"/>
              </w:rPr>
              <w:t>支持服务器厂商自研的主机安全加固软件，从操作系统内核实现对服务器的安全加固，可实现漏洞检测，防暴力破解、完整性检测、勒索病毒诱捕防护等功能。</w:t>
            </w:r>
          </w:p>
        </w:tc>
      </w:tr>
      <w:tr w14:paraId="4BBC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2DF1DF92">
            <w:pPr>
              <w:spacing w:line="276" w:lineRule="auto"/>
              <w:jc w:val="center"/>
              <w:rPr>
                <w:rFonts w:hint="eastAsia" w:ascii="仿宋" w:hAnsi="仿宋" w:eastAsia="仿宋"/>
                <w:bCs/>
                <w:sz w:val="28"/>
                <w:szCs w:val="28"/>
              </w:rPr>
            </w:pPr>
            <w:r>
              <w:rPr>
                <w:rFonts w:hint="eastAsia" w:ascii="仿宋" w:hAnsi="仿宋" w:eastAsia="仿宋"/>
                <w:bCs/>
                <w:sz w:val="28"/>
                <w:szCs w:val="28"/>
              </w:rPr>
              <w:t>2</w:t>
            </w:r>
          </w:p>
        </w:tc>
        <w:tc>
          <w:tcPr>
            <w:tcW w:w="870" w:type="dxa"/>
            <w:vAlign w:val="center"/>
          </w:tcPr>
          <w:p w14:paraId="331AB0EB">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2201E8C9">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用户信息传输装置</w:t>
            </w:r>
          </w:p>
        </w:tc>
        <w:tc>
          <w:tcPr>
            <w:tcW w:w="7605" w:type="dxa"/>
            <w:vAlign w:val="center"/>
          </w:tcPr>
          <w:p w14:paraId="3E4C3073">
            <w:pPr>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1、具有身份证查岗、拍照功能，并有声音和显示屏体现查岗状态及结果（查岗时通过身份证阅读器读取身份证信息）。</w:t>
            </w:r>
          </w:p>
          <w:p w14:paraId="0BEB85EB">
            <w:pPr>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2、具有彩色液晶显示屏显示，显示范围≥7英寸，液晶屏亮度可调整。</w:t>
            </w:r>
          </w:p>
          <w:p w14:paraId="657D4F8D">
            <w:pPr>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3、支持SDCard/USB扩展接口。</w:t>
            </w:r>
          </w:p>
          <w:p w14:paraId="1361C37F">
            <w:pPr>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4、可存储不少于10000条历史记录。</w:t>
            </w:r>
          </w:p>
          <w:p w14:paraId="28958880">
            <w:pPr>
              <w:spacing w:line="276" w:lineRule="auto"/>
              <w:jc w:val="left"/>
              <w:rPr>
                <w:rFonts w:hint="eastAsia" w:ascii="仿宋" w:hAnsi="仿宋" w:eastAsia="仿宋" w:cs="宋体"/>
                <w:bCs/>
                <w:sz w:val="28"/>
                <w:szCs w:val="28"/>
              </w:rPr>
            </w:pPr>
            <w:r>
              <w:rPr>
                <w:rFonts w:hint="eastAsia" w:ascii="仿宋" w:hAnsi="仿宋" w:eastAsia="仿宋" w:cs="宋体"/>
                <w:bCs/>
                <w:sz w:val="28"/>
                <w:szCs w:val="28"/>
              </w:rPr>
              <w:t>5、具有双模网络（有线及无线）、双通道传输数据，当一条链路发生故障时可以自动跳转到备用链路功能。</w:t>
            </w:r>
          </w:p>
          <w:p w14:paraId="6D83BBE7">
            <w:pPr>
              <w:pStyle w:val="3"/>
              <w:spacing w:line="276" w:lineRule="auto"/>
              <w:rPr>
                <w:rFonts w:hint="eastAsia" w:ascii="仿宋" w:hAnsi="仿宋" w:eastAsia="仿宋" w:cs="宋体"/>
                <w:b w:val="0"/>
                <w:sz w:val="28"/>
                <w:szCs w:val="28"/>
              </w:rPr>
            </w:pPr>
            <w:r>
              <w:rPr>
                <w:rFonts w:hint="eastAsia" w:ascii="仿宋" w:hAnsi="仿宋" w:eastAsia="仿宋" w:cs="宋体"/>
                <w:b w:val="0"/>
                <w:sz w:val="28"/>
                <w:szCs w:val="28"/>
              </w:rPr>
              <w:t>6、支持可以通过总线（RS485串行数据接口）与火灾报警控制器和消防联动控制器进行通信。</w:t>
            </w:r>
          </w:p>
          <w:p w14:paraId="71CC754A">
            <w:pPr>
              <w:spacing w:line="276" w:lineRule="auto"/>
              <w:rPr>
                <w:rFonts w:hint="eastAsia" w:ascii="仿宋" w:hAnsi="仿宋" w:eastAsia="仿宋"/>
                <w:bCs/>
                <w:sz w:val="28"/>
                <w:szCs w:val="28"/>
              </w:rPr>
            </w:pPr>
            <w:r>
              <w:rPr>
                <w:rFonts w:hint="eastAsia" w:ascii="仿宋" w:hAnsi="仿宋" w:eastAsia="仿宋" w:cs="宋体"/>
                <w:bCs/>
                <w:sz w:val="28"/>
                <w:szCs w:val="28"/>
              </w:rPr>
              <w:t>7、软件取得国家版权局出具的“计算机软件著作权登记证书”。</w:t>
            </w:r>
          </w:p>
        </w:tc>
      </w:tr>
      <w:tr w14:paraId="4A0C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1D4B93EE">
            <w:pPr>
              <w:spacing w:line="276" w:lineRule="auto"/>
              <w:jc w:val="center"/>
              <w:rPr>
                <w:rFonts w:hint="eastAsia" w:ascii="仿宋" w:hAnsi="仿宋" w:eastAsia="仿宋"/>
                <w:bCs/>
                <w:sz w:val="28"/>
                <w:szCs w:val="28"/>
              </w:rPr>
            </w:pPr>
            <w:r>
              <w:rPr>
                <w:rFonts w:hint="eastAsia" w:ascii="仿宋" w:hAnsi="仿宋" w:eastAsia="仿宋"/>
                <w:bCs/>
                <w:sz w:val="28"/>
                <w:szCs w:val="28"/>
              </w:rPr>
              <w:t>3</w:t>
            </w:r>
          </w:p>
        </w:tc>
        <w:tc>
          <w:tcPr>
            <w:tcW w:w="870" w:type="dxa"/>
            <w:vAlign w:val="center"/>
          </w:tcPr>
          <w:p w14:paraId="7776DE7C">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shd w:val="clear" w:color="auto" w:fill="auto"/>
            <w:vAlign w:val="center"/>
          </w:tcPr>
          <w:p w14:paraId="264230C3">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火灾报警控制器</w:t>
            </w:r>
          </w:p>
        </w:tc>
        <w:tc>
          <w:tcPr>
            <w:tcW w:w="7605" w:type="dxa"/>
            <w:shd w:val="clear" w:color="auto" w:fill="auto"/>
            <w:vAlign w:val="center"/>
          </w:tcPr>
          <w:p w14:paraId="6BD4494D">
            <w:pPr>
              <w:spacing w:line="276" w:lineRule="auto"/>
              <w:rPr>
                <w:rFonts w:hint="eastAsia" w:ascii="仿宋" w:hAnsi="仿宋" w:eastAsia="仿宋" w:cs="宋体"/>
                <w:bCs/>
                <w:sz w:val="28"/>
                <w:szCs w:val="28"/>
              </w:rPr>
            </w:pPr>
            <w:r>
              <w:rPr>
                <w:rFonts w:hint="eastAsia" w:ascii="仿宋" w:hAnsi="仿宋" w:eastAsia="仿宋" w:cs="宋体"/>
                <w:bCs/>
                <w:sz w:val="28"/>
                <w:szCs w:val="28"/>
              </w:rPr>
              <w:t>满足行业标准</w:t>
            </w:r>
            <w:r>
              <w:rPr>
                <w:rFonts w:ascii="仿宋" w:hAnsi="仿宋" w:eastAsia="仿宋" w:cs="宋体"/>
                <w:bCs/>
                <w:sz w:val="28"/>
                <w:szCs w:val="28"/>
              </w:rPr>
              <w:t>GA1151-2014</w:t>
            </w:r>
            <w:r>
              <w:rPr>
                <w:rFonts w:hint="eastAsia" w:ascii="仿宋" w:hAnsi="仿宋" w:eastAsia="仿宋" w:cs="宋体"/>
                <w:bCs/>
                <w:sz w:val="28"/>
                <w:szCs w:val="28"/>
              </w:rPr>
              <w:t>《火灾报警系统无线通信功能通用要求》和国家标准GB4717-2005《火灾报警控制器》要求。</w:t>
            </w:r>
          </w:p>
        </w:tc>
      </w:tr>
      <w:tr w14:paraId="2FF2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6D93F690">
            <w:pPr>
              <w:spacing w:line="276" w:lineRule="auto"/>
              <w:jc w:val="center"/>
              <w:rPr>
                <w:rFonts w:hint="eastAsia" w:ascii="仿宋" w:hAnsi="仿宋" w:eastAsia="仿宋"/>
                <w:bCs/>
                <w:sz w:val="28"/>
                <w:szCs w:val="28"/>
              </w:rPr>
            </w:pPr>
            <w:r>
              <w:rPr>
                <w:rFonts w:hint="eastAsia" w:ascii="仿宋" w:hAnsi="仿宋" w:eastAsia="仿宋"/>
                <w:bCs/>
                <w:sz w:val="28"/>
                <w:szCs w:val="28"/>
              </w:rPr>
              <w:t>4</w:t>
            </w:r>
          </w:p>
        </w:tc>
        <w:tc>
          <w:tcPr>
            <w:tcW w:w="870" w:type="dxa"/>
            <w:vAlign w:val="center"/>
          </w:tcPr>
          <w:p w14:paraId="6066EF97">
            <w:pPr>
              <w:widowControl/>
              <w:spacing w:line="276" w:lineRule="auto"/>
              <w:jc w:val="center"/>
              <w:rPr>
                <w:rFonts w:hint="eastAsia" w:ascii="仿宋" w:hAnsi="仿宋" w:eastAsia="仿宋" w:cs="宋体"/>
                <w:bCs/>
                <w:snapToGrid w:val="0"/>
                <w:kern w:val="0"/>
                <w:sz w:val="28"/>
                <w:szCs w:val="28"/>
                <w:lang w:val="zh-CN"/>
              </w:rPr>
            </w:pPr>
            <w:r>
              <w:rPr>
                <w:rFonts w:hint="eastAsia" w:ascii="仿宋" w:hAnsi="仿宋" w:eastAsia="仿宋"/>
                <w:b/>
                <w:bCs/>
                <w:sz w:val="32"/>
                <w:szCs w:val="32"/>
              </w:rPr>
              <w:t>#</w:t>
            </w:r>
          </w:p>
        </w:tc>
        <w:tc>
          <w:tcPr>
            <w:tcW w:w="1162" w:type="dxa"/>
            <w:vAlign w:val="center"/>
          </w:tcPr>
          <w:p w14:paraId="680268AB">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LoRa无线烟感</w:t>
            </w:r>
          </w:p>
        </w:tc>
        <w:tc>
          <w:tcPr>
            <w:tcW w:w="7605" w:type="dxa"/>
            <w:vAlign w:val="center"/>
          </w:tcPr>
          <w:p w14:paraId="3F7648C7">
            <w:pPr>
              <w:pStyle w:val="29"/>
              <w:ind w:firstLine="0" w:firstLineChars="0"/>
              <w:textAlignment w:val="center"/>
              <w:rPr>
                <w:rFonts w:hint="eastAsia" w:ascii="仿宋" w:hAnsi="仿宋" w:eastAsia="仿宋"/>
                <w:sz w:val="28"/>
                <w:szCs w:val="28"/>
              </w:rPr>
            </w:pPr>
            <w:r>
              <w:rPr>
                <w:rFonts w:hint="eastAsia" w:ascii="仿宋" w:hAnsi="仿宋" w:eastAsia="仿宋"/>
                <w:sz w:val="28"/>
                <w:szCs w:val="28"/>
              </w:rPr>
              <w:t>1.具有一个工作状态指示灯，正常监视状态时绿色闪亮;具有一个故障状态指示灯，故障状态时黄色闪亮;具有一个火灾报警确认灯，火灾报警状态时红色常亮。</w:t>
            </w:r>
          </w:p>
          <w:p w14:paraId="37D2E045">
            <w:pPr>
              <w:pStyle w:val="29"/>
              <w:ind w:firstLine="0" w:firstLineChars="0"/>
              <w:textAlignment w:val="center"/>
              <w:rPr>
                <w:rFonts w:hint="eastAsia" w:ascii="仿宋" w:hAnsi="仿宋" w:eastAsia="仿宋"/>
                <w:bCs/>
                <w:sz w:val="28"/>
                <w:szCs w:val="28"/>
              </w:rPr>
            </w:pPr>
            <w:r>
              <w:rPr>
                <w:rFonts w:hint="eastAsia" w:ascii="仿宋" w:hAnsi="仿宋" w:eastAsia="仿宋"/>
                <w:sz w:val="28"/>
                <w:szCs w:val="28"/>
                <w:lang w:bidi="ar"/>
              </w:rPr>
              <w:t>2.产品需获得工信部颁发无线电发射设备型号核准证、进网试用批文和带有CMA或</w:t>
            </w:r>
            <w:r>
              <w:rPr>
                <w:rFonts w:hint="eastAsia" w:ascii="仿宋" w:hAnsi="仿宋" w:eastAsia="仿宋"/>
                <w:sz w:val="28"/>
                <w:szCs w:val="28"/>
              </w:rPr>
              <w:t>CNAS标识的</w:t>
            </w:r>
            <w:r>
              <w:rPr>
                <w:rFonts w:hint="eastAsia" w:ascii="仿宋" w:hAnsi="仿宋" w:eastAsia="仿宋"/>
                <w:sz w:val="28"/>
                <w:szCs w:val="28"/>
                <w:lang w:bidi="ar"/>
              </w:rPr>
              <w:t>进网检验报告。</w:t>
            </w:r>
          </w:p>
        </w:tc>
      </w:tr>
      <w:tr w14:paraId="009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08E737DC">
            <w:pPr>
              <w:spacing w:line="276" w:lineRule="auto"/>
              <w:jc w:val="center"/>
              <w:rPr>
                <w:rFonts w:hint="eastAsia" w:ascii="仿宋" w:hAnsi="仿宋" w:eastAsia="仿宋"/>
                <w:bCs/>
                <w:sz w:val="28"/>
                <w:szCs w:val="28"/>
              </w:rPr>
            </w:pPr>
            <w:r>
              <w:rPr>
                <w:rFonts w:hint="eastAsia" w:ascii="仿宋" w:hAnsi="仿宋" w:eastAsia="仿宋"/>
                <w:bCs/>
                <w:sz w:val="28"/>
                <w:szCs w:val="28"/>
              </w:rPr>
              <w:t>5</w:t>
            </w:r>
          </w:p>
        </w:tc>
        <w:tc>
          <w:tcPr>
            <w:tcW w:w="870" w:type="dxa"/>
            <w:vAlign w:val="center"/>
          </w:tcPr>
          <w:p w14:paraId="2956B11D">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7DD5763B">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独立式火灾探测报警器</w:t>
            </w:r>
          </w:p>
        </w:tc>
        <w:tc>
          <w:tcPr>
            <w:tcW w:w="7605" w:type="dxa"/>
            <w:vAlign w:val="center"/>
          </w:tcPr>
          <w:p w14:paraId="1C90F897">
            <w:pPr>
              <w:rPr>
                <w:rFonts w:hint="eastAsia" w:ascii="仿宋" w:hAnsi="仿宋" w:eastAsia="仿宋" w:cs="宋体"/>
                <w:sz w:val="28"/>
                <w:szCs w:val="28"/>
              </w:rPr>
            </w:pPr>
            <w:r>
              <w:rPr>
                <w:rFonts w:hint="eastAsia" w:ascii="仿宋" w:hAnsi="仿宋" w:eastAsia="仿宋" w:cs="宋体"/>
                <w:sz w:val="28"/>
                <w:szCs w:val="28"/>
              </w:rPr>
              <w:t>满足GB 20517-2006标准及对应型号的中国国家强制性产品认证证书（认证委托人、生产者、生产企业三者需一致。）</w:t>
            </w:r>
          </w:p>
        </w:tc>
      </w:tr>
      <w:tr w14:paraId="4BA8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353A548F">
            <w:pPr>
              <w:spacing w:line="276" w:lineRule="auto"/>
              <w:jc w:val="center"/>
              <w:rPr>
                <w:rFonts w:hint="eastAsia" w:ascii="仿宋" w:hAnsi="仿宋" w:eastAsia="仿宋"/>
                <w:bCs/>
                <w:sz w:val="28"/>
                <w:szCs w:val="28"/>
              </w:rPr>
            </w:pPr>
            <w:r>
              <w:rPr>
                <w:rFonts w:hint="eastAsia" w:ascii="仿宋" w:hAnsi="仿宋" w:eastAsia="仿宋"/>
                <w:bCs/>
                <w:sz w:val="28"/>
                <w:szCs w:val="28"/>
              </w:rPr>
              <w:t>6</w:t>
            </w:r>
          </w:p>
        </w:tc>
        <w:tc>
          <w:tcPr>
            <w:tcW w:w="870" w:type="dxa"/>
            <w:vAlign w:val="center"/>
          </w:tcPr>
          <w:p w14:paraId="19CABA72">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115F6F80">
            <w:pPr>
              <w:widowControl/>
              <w:spacing w:line="276" w:lineRule="auto"/>
              <w:jc w:val="center"/>
              <w:rPr>
                <w:rFonts w:hint="eastAsia" w:ascii="仿宋" w:hAnsi="仿宋" w:eastAsia="仿宋" w:cs="宋体"/>
                <w:bCs/>
                <w:kern w:val="0"/>
                <w:sz w:val="28"/>
                <w:szCs w:val="28"/>
              </w:rPr>
            </w:pPr>
            <w:r>
              <w:rPr>
                <w:rFonts w:hint="eastAsia" w:ascii="仿宋" w:hAnsi="仿宋" w:eastAsia="仿宋" w:cs="宋体"/>
                <w:bCs/>
                <w:kern w:val="0"/>
                <w:sz w:val="28"/>
                <w:szCs w:val="28"/>
              </w:rPr>
              <w:t>无线中继器</w:t>
            </w:r>
          </w:p>
        </w:tc>
        <w:tc>
          <w:tcPr>
            <w:tcW w:w="7605" w:type="dxa"/>
            <w:vAlign w:val="center"/>
          </w:tcPr>
          <w:p w14:paraId="198CFDD3">
            <w:pPr>
              <w:spacing w:line="400" w:lineRule="exact"/>
              <w:rPr>
                <w:rFonts w:hint="eastAsia" w:ascii="仿宋" w:hAnsi="仿宋" w:eastAsia="仿宋" w:cs="宋体"/>
                <w:sz w:val="28"/>
                <w:szCs w:val="28"/>
              </w:rPr>
            </w:pPr>
            <w:r>
              <w:rPr>
                <w:rFonts w:hint="eastAsia" w:ascii="仿宋" w:hAnsi="仿宋" w:eastAsia="仿宋" w:cs="宋体"/>
                <w:sz w:val="28"/>
                <w:szCs w:val="28"/>
              </w:rPr>
              <w:t>1.在无遮挡的条件下无线通信功能的最大通讯距离≥450米。</w:t>
            </w:r>
          </w:p>
          <w:p w14:paraId="77BA930F">
            <w:pPr>
              <w:pStyle w:val="3"/>
              <w:rPr>
                <w:rFonts w:hint="eastAsia" w:ascii="仿宋" w:hAnsi="仿宋" w:eastAsia="仿宋" w:cs="宋体"/>
                <w:bCs w:val="0"/>
                <w:kern w:val="0"/>
                <w:sz w:val="28"/>
                <w:szCs w:val="28"/>
              </w:rPr>
            </w:pPr>
            <w:r>
              <w:rPr>
                <w:rFonts w:hint="eastAsia" w:ascii="仿宋" w:hAnsi="仿宋" w:eastAsia="仿宋"/>
                <w:sz w:val="28"/>
                <w:szCs w:val="28"/>
              </w:rPr>
              <w:t>2.</w:t>
            </w:r>
            <w:r>
              <w:rPr>
                <w:rFonts w:hint="eastAsia" w:ascii="仿宋" w:hAnsi="仿宋" w:eastAsia="仿宋" w:cs="宋体"/>
                <w:b w:val="0"/>
                <w:bCs w:val="0"/>
                <w:sz w:val="28"/>
                <w:szCs w:val="28"/>
              </w:rPr>
              <w:t>满足行业标准</w:t>
            </w:r>
            <w:r>
              <w:rPr>
                <w:rFonts w:ascii="仿宋" w:hAnsi="仿宋" w:eastAsia="仿宋" w:cs="宋体"/>
                <w:b w:val="0"/>
                <w:bCs w:val="0"/>
                <w:sz w:val="28"/>
                <w:szCs w:val="28"/>
              </w:rPr>
              <w:t>GA1151-2014</w:t>
            </w:r>
            <w:r>
              <w:rPr>
                <w:rFonts w:hint="eastAsia" w:ascii="仿宋" w:hAnsi="仿宋" w:eastAsia="仿宋" w:cs="宋体"/>
                <w:b w:val="0"/>
                <w:bCs w:val="0"/>
                <w:sz w:val="28"/>
                <w:szCs w:val="28"/>
              </w:rPr>
              <w:t>《火灾报警系统无线通信功能通用要求》</w:t>
            </w:r>
            <w:r>
              <w:rPr>
                <w:rFonts w:hint="eastAsia" w:ascii="仿宋" w:hAnsi="仿宋" w:eastAsia="仿宋"/>
                <w:sz w:val="28"/>
                <w:szCs w:val="28"/>
              </w:rPr>
              <w:t>。</w:t>
            </w:r>
          </w:p>
        </w:tc>
      </w:tr>
    </w:tbl>
    <w:p w14:paraId="1CF85B10">
      <w:pPr>
        <w:rPr>
          <w:rFonts w:hint="eastAsia"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14:paraId="613A2F55">
      <w:pPr>
        <w:rPr>
          <w:rFonts w:ascii="Calibri" w:hAnsi="Calibri" w:eastAsia="仿宋" w:cs="Calibri"/>
          <w:sz w:val="32"/>
          <w:szCs w:val="32"/>
        </w:rPr>
      </w:pPr>
    </w:p>
    <w:p w14:paraId="3556659A"/>
    <w:p w14:paraId="1EF11FCD">
      <w:pPr>
        <w:numPr>
          <w:ilvl w:val="0"/>
          <w:numId w:val="2"/>
        </w:numPr>
        <w:rPr>
          <w:rFonts w:hint="eastAsia" w:ascii="仿宋" w:hAnsi="仿宋" w:eastAsia="仿宋"/>
          <w:sz w:val="32"/>
          <w:szCs w:val="32"/>
        </w:rPr>
      </w:pPr>
      <w:r>
        <w:rPr>
          <w:rFonts w:hint="eastAsia" w:ascii="仿宋" w:hAnsi="仿宋" w:eastAsia="仿宋"/>
          <w:b/>
          <w:bCs/>
          <w:sz w:val="32"/>
          <w:szCs w:val="32"/>
        </w:rPr>
        <w:t>商务要求</w:t>
      </w:r>
    </w:p>
    <w:tbl>
      <w:tblPr>
        <w:tblStyle w:val="13"/>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179C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14:paraId="235DC4FB">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587AFDA2">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5F5A8BED">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2FB6EC86">
            <w:pPr>
              <w:jc w:val="center"/>
              <w:rPr>
                <w:rFonts w:hint="eastAsia" w:ascii="仿宋" w:hAnsi="仿宋" w:eastAsia="仿宋"/>
                <w:sz w:val="28"/>
                <w:szCs w:val="28"/>
              </w:rPr>
            </w:pPr>
            <w:r>
              <w:rPr>
                <w:rFonts w:hint="eastAsia" w:ascii="仿宋" w:hAnsi="仿宋" w:eastAsia="仿宋"/>
                <w:b/>
                <w:bCs/>
                <w:sz w:val="28"/>
                <w:szCs w:val="28"/>
              </w:rPr>
              <w:t>指标要求</w:t>
            </w:r>
          </w:p>
        </w:tc>
      </w:tr>
      <w:tr w14:paraId="421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14:paraId="6DCB3E91">
            <w:pPr>
              <w:jc w:val="center"/>
              <w:rPr>
                <w:rFonts w:hint="eastAsia" w:ascii="仿宋" w:hAnsi="仿宋" w:eastAsia="仿宋"/>
                <w:sz w:val="28"/>
                <w:szCs w:val="28"/>
              </w:rPr>
            </w:pPr>
            <w:r>
              <w:rPr>
                <w:rFonts w:hint="eastAsia" w:ascii="仿宋" w:hAnsi="仿宋" w:eastAsia="仿宋"/>
                <w:sz w:val="28"/>
                <w:szCs w:val="28"/>
              </w:rPr>
              <w:t>1</w:t>
            </w:r>
          </w:p>
        </w:tc>
        <w:tc>
          <w:tcPr>
            <w:tcW w:w="1974" w:type="dxa"/>
            <w:vAlign w:val="center"/>
          </w:tcPr>
          <w:p w14:paraId="05DCB906">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292C3677">
            <w:pPr>
              <w:jc w:val="center"/>
              <w:rPr>
                <w:rFonts w:hint="eastAsia" w:ascii="仿宋" w:hAnsi="仿宋" w:eastAsia="仿宋"/>
                <w:sz w:val="28"/>
                <w:szCs w:val="28"/>
              </w:rPr>
            </w:pPr>
            <w:r>
              <w:rPr>
                <w:rFonts w:hint="eastAsia" w:ascii="仿宋" w:hAnsi="仿宋" w:eastAsia="仿宋"/>
                <w:sz w:val="28"/>
                <w:szCs w:val="28"/>
              </w:rPr>
              <w:t>供货期/服务期/工期</w:t>
            </w:r>
          </w:p>
        </w:tc>
        <w:tc>
          <w:tcPr>
            <w:tcW w:w="5266" w:type="dxa"/>
            <w:vAlign w:val="center"/>
          </w:tcPr>
          <w:p w14:paraId="20323B64">
            <w:pPr>
              <w:rPr>
                <w:rFonts w:hint="eastAsia" w:ascii="仿宋" w:hAnsi="仿宋" w:eastAsia="仿宋"/>
                <w:sz w:val="28"/>
                <w:szCs w:val="28"/>
              </w:rPr>
            </w:pPr>
            <w:r>
              <w:rPr>
                <w:rFonts w:hint="eastAsia" w:ascii="仿宋" w:hAnsi="仿宋" w:eastAsia="仿宋"/>
                <w:sz w:val="28"/>
                <w:szCs w:val="28"/>
              </w:rPr>
              <w:t>签定合同后3个月内</w:t>
            </w:r>
          </w:p>
        </w:tc>
      </w:tr>
      <w:tr w14:paraId="63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1A940A8E">
            <w:pPr>
              <w:jc w:val="center"/>
              <w:rPr>
                <w:rFonts w:hint="eastAsia" w:ascii="仿宋" w:hAnsi="仿宋" w:eastAsia="仿宋"/>
                <w:sz w:val="28"/>
                <w:szCs w:val="28"/>
              </w:rPr>
            </w:pPr>
            <w:r>
              <w:rPr>
                <w:rFonts w:hint="eastAsia" w:ascii="仿宋" w:hAnsi="仿宋" w:eastAsia="仿宋"/>
                <w:sz w:val="28"/>
                <w:szCs w:val="28"/>
              </w:rPr>
              <w:t>2</w:t>
            </w:r>
          </w:p>
        </w:tc>
        <w:tc>
          <w:tcPr>
            <w:tcW w:w="1974" w:type="dxa"/>
            <w:vAlign w:val="center"/>
          </w:tcPr>
          <w:p w14:paraId="25FF8F6B">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3C65A408">
            <w:pPr>
              <w:jc w:val="center"/>
              <w:rPr>
                <w:rFonts w:hint="eastAsia" w:ascii="仿宋" w:hAnsi="仿宋" w:eastAsia="仿宋"/>
                <w:sz w:val="28"/>
                <w:szCs w:val="28"/>
              </w:rPr>
            </w:pPr>
            <w:r>
              <w:rPr>
                <w:rFonts w:hint="eastAsia" w:ascii="仿宋" w:hAnsi="仿宋" w:eastAsia="仿宋"/>
                <w:sz w:val="28"/>
                <w:szCs w:val="28"/>
              </w:rPr>
              <w:t>包装和</w:t>
            </w:r>
          </w:p>
          <w:p w14:paraId="22529476">
            <w:pPr>
              <w:jc w:val="center"/>
              <w:rPr>
                <w:rFonts w:hint="eastAsia" w:ascii="仿宋" w:hAnsi="仿宋" w:eastAsia="仿宋"/>
                <w:sz w:val="28"/>
                <w:szCs w:val="28"/>
              </w:rPr>
            </w:pPr>
            <w:r>
              <w:rPr>
                <w:rFonts w:hint="eastAsia" w:ascii="仿宋" w:hAnsi="仿宋" w:eastAsia="仿宋"/>
                <w:sz w:val="28"/>
                <w:szCs w:val="28"/>
              </w:rPr>
              <w:t>运输</w:t>
            </w:r>
          </w:p>
        </w:tc>
        <w:tc>
          <w:tcPr>
            <w:tcW w:w="5266" w:type="dxa"/>
            <w:shd w:val="clear" w:color="auto" w:fill="FFFFFF"/>
            <w:vAlign w:val="center"/>
          </w:tcPr>
          <w:p w14:paraId="55162644">
            <w:pPr>
              <w:rPr>
                <w:rFonts w:hint="eastAsia" w:ascii="仿宋" w:hAnsi="仿宋" w:eastAsia="仿宋"/>
                <w:sz w:val="28"/>
                <w:szCs w:val="28"/>
              </w:rPr>
            </w:pPr>
            <w:r>
              <w:rPr>
                <w:rFonts w:hint="eastAsia" w:ascii="仿宋" w:hAnsi="仿宋" w:eastAsia="仿宋"/>
                <w:sz w:val="28"/>
                <w:szCs w:val="28"/>
              </w:rPr>
              <w:t>货物的拆箱、安装等工作由成交供应商负责，但必须在采购人或用户指定人员的参与下进行。成交供应商施工前必须先经采购人或用户同意方可进行。</w:t>
            </w:r>
          </w:p>
          <w:p w14:paraId="4DC6EFC5">
            <w:pPr>
              <w:rPr>
                <w:rFonts w:hint="eastAsia" w:ascii="仿宋" w:hAnsi="仿宋" w:eastAsia="仿宋"/>
                <w:sz w:val="28"/>
                <w:szCs w:val="28"/>
              </w:rPr>
            </w:pPr>
            <w:r>
              <w:rPr>
                <w:rFonts w:hint="eastAsia" w:ascii="仿宋" w:hAnsi="仿宋" w:eastAsia="仿宋"/>
                <w:sz w:val="28"/>
                <w:szCs w:val="28"/>
              </w:rPr>
              <w:t>所有货物、材料均须由成交供应商送货到现场并负责安装，必须出示产品合格证和原厂随货清单。成交供应商应派熟练的工程师现场进行安装，若发生任一项指标不符合竞争性磋商文件要求的，成交供应商应在3天内免费更换其不合格产品，使之达到竞争性磋商文件要求，所有费用由成交供应商负担。</w:t>
            </w:r>
          </w:p>
        </w:tc>
      </w:tr>
      <w:tr w14:paraId="6E7F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CellSpacing w:w="0" w:type="dxa"/>
          <w:jc w:val="center"/>
        </w:trPr>
        <w:tc>
          <w:tcPr>
            <w:tcW w:w="1129" w:type="dxa"/>
            <w:vAlign w:val="center"/>
          </w:tcPr>
          <w:p w14:paraId="4E2B33EC">
            <w:pPr>
              <w:jc w:val="center"/>
              <w:rPr>
                <w:rFonts w:hint="eastAsia" w:ascii="仿宋" w:hAnsi="仿宋" w:eastAsia="仿宋"/>
                <w:sz w:val="28"/>
                <w:szCs w:val="28"/>
              </w:rPr>
            </w:pPr>
            <w:r>
              <w:rPr>
                <w:rFonts w:hint="eastAsia" w:ascii="仿宋" w:hAnsi="仿宋" w:eastAsia="仿宋"/>
                <w:sz w:val="28"/>
                <w:szCs w:val="28"/>
              </w:rPr>
              <w:t>3</w:t>
            </w:r>
          </w:p>
        </w:tc>
        <w:tc>
          <w:tcPr>
            <w:tcW w:w="1974" w:type="dxa"/>
            <w:vAlign w:val="center"/>
          </w:tcPr>
          <w:p w14:paraId="4D2C14F3">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6A73D4C0">
            <w:pPr>
              <w:jc w:val="center"/>
              <w:rPr>
                <w:rFonts w:hint="eastAsia" w:ascii="仿宋" w:hAnsi="仿宋" w:eastAsia="仿宋"/>
                <w:sz w:val="28"/>
                <w:szCs w:val="28"/>
              </w:rPr>
            </w:pPr>
            <w:r>
              <w:rPr>
                <w:rFonts w:hint="eastAsia" w:ascii="仿宋" w:hAnsi="仿宋" w:eastAsia="仿宋"/>
                <w:sz w:val="28"/>
                <w:szCs w:val="28"/>
              </w:rPr>
              <w:t>培训要求</w:t>
            </w:r>
          </w:p>
        </w:tc>
        <w:tc>
          <w:tcPr>
            <w:tcW w:w="5266" w:type="dxa"/>
            <w:vAlign w:val="center"/>
          </w:tcPr>
          <w:p w14:paraId="78B5B8CA">
            <w:pPr>
              <w:jc w:val="left"/>
              <w:rPr>
                <w:rFonts w:hint="eastAsia" w:ascii="仿宋" w:hAnsi="仿宋" w:eastAsia="仿宋"/>
                <w:sz w:val="28"/>
                <w:szCs w:val="28"/>
              </w:rPr>
            </w:pPr>
            <w:r>
              <w:rPr>
                <w:rFonts w:hint="eastAsia" w:ascii="仿宋" w:hAnsi="仿宋" w:eastAsia="仿宋"/>
                <w:sz w:val="28"/>
                <w:szCs w:val="28"/>
              </w:rPr>
              <w:t>成交供应商应派遣其精通业务的、健康的、合格的技术人员到合同货物的安装现场提供技术服务。成交供应商将根据自身的培训政策和使用方的具体的要求，直接向采购人或使用单位提供培训，包括成交供应商提供的设备管理培训、技术培训和使用方要求的其他培训内容。以上培训内容的培训费用由成交供应商承担。</w:t>
            </w:r>
          </w:p>
        </w:tc>
      </w:tr>
      <w:tr w14:paraId="03E7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CellSpacing w:w="0" w:type="dxa"/>
          <w:jc w:val="center"/>
        </w:trPr>
        <w:tc>
          <w:tcPr>
            <w:tcW w:w="1129" w:type="dxa"/>
            <w:vAlign w:val="center"/>
          </w:tcPr>
          <w:p w14:paraId="1EB88891">
            <w:pPr>
              <w:jc w:val="center"/>
              <w:rPr>
                <w:rFonts w:hint="eastAsia" w:ascii="仿宋" w:hAnsi="仿宋" w:eastAsia="仿宋"/>
                <w:sz w:val="28"/>
                <w:szCs w:val="28"/>
              </w:rPr>
            </w:pPr>
            <w:r>
              <w:rPr>
                <w:rFonts w:hint="eastAsia" w:ascii="仿宋" w:hAnsi="仿宋" w:eastAsia="仿宋"/>
                <w:sz w:val="28"/>
                <w:szCs w:val="28"/>
              </w:rPr>
              <w:t>4</w:t>
            </w:r>
          </w:p>
        </w:tc>
        <w:tc>
          <w:tcPr>
            <w:tcW w:w="1974" w:type="dxa"/>
            <w:vAlign w:val="center"/>
          </w:tcPr>
          <w:p w14:paraId="59384689">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285BEEE1">
            <w:pPr>
              <w:jc w:val="center"/>
              <w:rPr>
                <w:rFonts w:hint="eastAsia" w:ascii="仿宋" w:hAnsi="仿宋" w:eastAsia="仿宋"/>
                <w:sz w:val="28"/>
                <w:szCs w:val="28"/>
              </w:rPr>
            </w:pPr>
            <w:r>
              <w:rPr>
                <w:rFonts w:hint="eastAsia" w:ascii="仿宋" w:hAnsi="仿宋" w:eastAsia="仿宋"/>
                <w:sz w:val="28"/>
                <w:szCs w:val="28"/>
              </w:rPr>
              <w:t>验收标准</w:t>
            </w:r>
          </w:p>
        </w:tc>
        <w:tc>
          <w:tcPr>
            <w:tcW w:w="5266" w:type="dxa"/>
            <w:vAlign w:val="center"/>
          </w:tcPr>
          <w:p w14:paraId="69E7FD29">
            <w:pPr>
              <w:rPr>
                <w:rFonts w:hint="eastAsia" w:ascii="仿宋" w:hAnsi="仿宋" w:eastAsia="仿宋"/>
                <w:sz w:val="28"/>
                <w:szCs w:val="28"/>
              </w:rPr>
            </w:pPr>
            <w:r>
              <w:rPr>
                <w:rFonts w:hint="eastAsia" w:ascii="仿宋" w:hAnsi="仿宋" w:eastAsia="仿宋"/>
                <w:sz w:val="28"/>
                <w:szCs w:val="28"/>
              </w:rPr>
              <w:t>货物安装完成正常运行 7 天后，由供货商提出验收申请，项目单位同意后，按照学校验收的权限，相关部门及人员形成验收小组，验收小组根据采购文件、投标文件、合同等项目文件约定内容和国家或行业相关标准对项目进行综合运行验收。成交供应商应负责在项目验收时将全部有关技术文件、资料、验收报告等文档汇集成册交付采购人或用户。如验收达不到规定要求，采购人有权要求更换货物或拒绝付款，成交供应商若违约，采购人将依法追究相应法律责任。</w:t>
            </w:r>
          </w:p>
        </w:tc>
      </w:tr>
      <w:tr w14:paraId="39D0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CellSpacing w:w="0" w:type="dxa"/>
          <w:jc w:val="center"/>
        </w:trPr>
        <w:tc>
          <w:tcPr>
            <w:tcW w:w="1129" w:type="dxa"/>
            <w:vAlign w:val="center"/>
          </w:tcPr>
          <w:p w14:paraId="75CB4546">
            <w:pPr>
              <w:jc w:val="center"/>
              <w:rPr>
                <w:rFonts w:hint="eastAsia" w:ascii="仿宋" w:hAnsi="仿宋" w:eastAsia="仿宋"/>
                <w:sz w:val="28"/>
                <w:szCs w:val="28"/>
              </w:rPr>
            </w:pPr>
            <w:r>
              <w:rPr>
                <w:rFonts w:hint="eastAsia" w:ascii="仿宋" w:hAnsi="仿宋" w:eastAsia="仿宋"/>
                <w:sz w:val="28"/>
                <w:szCs w:val="28"/>
              </w:rPr>
              <w:t>5</w:t>
            </w:r>
          </w:p>
        </w:tc>
        <w:tc>
          <w:tcPr>
            <w:tcW w:w="1974" w:type="dxa"/>
            <w:vAlign w:val="center"/>
          </w:tcPr>
          <w:p w14:paraId="40EB7E4A">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122D754F">
            <w:pPr>
              <w:jc w:val="center"/>
              <w:rPr>
                <w:rFonts w:hint="eastAsia" w:ascii="仿宋" w:hAnsi="仿宋" w:eastAsia="仿宋"/>
                <w:sz w:val="28"/>
                <w:szCs w:val="28"/>
              </w:rPr>
            </w:pPr>
            <w:r>
              <w:rPr>
                <w:rFonts w:hint="eastAsia" w:ascii="仿宋" w:hAnsi="仿宋" w:eastAsia="仿宋"/>
                <w:sz w:val="28"/>
                <w:szCs w:val="28"/>
              </w:rPr>
              <w:t>交货/服务/建设地点</w:t>
            </w:r>
          </w:p>
        </w:tc>
        <w:tc>
          <w:tcPr>
            <w:tcW w:w="5266" w:type="dxa"/>
            <w:vAlign w:val="center"/>
          </w:tcPr>
          <w:p w14:paraId="74FA1A4F">
            <w:pPr>
              <w:rPr>
                <w:rFonts w:hint="eastAsia" w:ascii="仿宋" w:hAnsi="仿宋" w:eastAsia="仿宋"/>
                <w:sz w:val="28"/>
                <w:szCs w:val="28"/>
              </w:rPr>
            </w:pPr>
            <w:r>
              <w:rPr>
                <w:rFonts w:hint="eastAsia" w:ascii="仿宋" w:hAnsi="仿宋" w:eastAsia="仿宋"/>
                <w:sz w:val="28"/>
                <w:szCs w:val="28"/>
              </w:rPr>
              <w:t>南昌大学前湖校区</w:t>
            </w:r>
          </w:p>
        </w:tc>
      </w:tr>
      <w:tr w14:paraId="6F5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CellSpacing w:w="0" w:type="dxa"/>
          <w:jc w:val="center"/>
        </w:trPr>
        <w:tc>
          <w:tcPr>
            <w:tcW w:w="1129" w:type="dxa"/>
            <w:vAlign w:val="center"/>
          </w:tcPr>
          <w:p w14:paraId="038A1A20">
            <w:pPr>
              <w:jc w:val="center"/>
              <w:rPr>
                <w:rFonts w:hint="eastAsia" w:ascii="仿宋" w:hAnsi="仿宋" w:eastAsia="仿宋"/>
                <w:sz w:val="28"/>
                <w:szCs w:val="28"/>
              </w:rPr>
            </w:pPr>
            <w:r>
              <w:rPr>
                <w:rFonts w:hint="eastAsia" w:ascii="仿宋" w:hAnsi="仿宋" w:eastAsia="仿宋"/>
                <w:sz w:val="28"/>
                <w:szCs w:val="28"/>
              </w:rPr>
              <w:t>6</w:t>
            </w:r>
          </w:p>
        </w:tc>
        <w:tc>
          <w:tcPr>
            <w:tcW w:w="1974" w:type="dxa"/>
            <w:vAlign w:val="center"/>
          </w:tcPr>
          <w:p w14:paraId="54CBC6E2">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6418E470">
            <w:pPr>
              <w:jc w:val="center"/>
              <w:rPr>
                <w:rFonts w:hint="eastAsia" w:ascii="仿宋" w:hAnsi="仿宋" w:eastAsia="仿宋"/>
                <w:sz w:val="28"/>
                <w:szCs w:val="28"/>
              </w:rPr>
            </w:pPr>
            <w:r>
              <w:rPr>
                <w:rFonts w:hint="eastAsia" w:ascii="仿宋" w:hAnsi="仿宋" w:eastAsia="仿宋"/>
                <w:sz w:val="28"/>
                <w:szCs w:val="28"/>
              </w:rPr>
              <w:t>知识产权归属和处理方式</w:t>
            </w:r>
          </w:p>
        </w:tc>
        <w:tc>
          <w:tcPr>
            <w:tcW w:w="5266" w:type="dxa"/>
            <w:vAlign w:val="center"/>
          </w:tcPr>
          <w:p w14:paraId="2A0079FA">
            <w:pPr>
              <w:rPr>
                <w:rFonts w:hint="eastAsia" w:ascii="仿宋" w:hAnsi="仿宋" w:eastAsia="仿宋"/>
                <w:sz w:val="28"/>
                <w:szCs w:val="28"/>
              </w:rPr>
            </w:pPr>
            <w:r>
              <w:rPr>
                <w:rFonts w:hint="eastAsia" w:ascii="仿宋" w:hAnsi="仿宋" w:eastAsia="仿宋"/>
                <w:sz w:val="28"/>
                <w:szCs w:val="28"/>
              </w:rPr>
              <w:t>成交供应商应保证采购人在使用设备或设备的任何部分时不受任何关于侵犯所有权和工业产权、著作权（版权）等知识产权的指控。如果任何第三方提出侵权指控，成交供应商承担一切与之有关的责任。</w:t>
            </w:r>
          </w:p>
        </w:tc>
      </w:tr>
      <w:tr w14:paraId="6F5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CellSpacing w:w="0" w:type="dxa"/>
          <w:jc w:val="center"/>
        </w:trPr>
        <w:tc>
          <w:tcPr>
            <w:tcW w:w="1129" w:type="dxa"/>
            <w:vAlign w:val="center"/>
          </w:tcPr>
          <w:p w14:paraId="6F5622BC">
            <w:pPr>
              <w:jc w:val="center"/>
              <w:rPr>
                <w:rFonts w:hint="eastAsia" w:ascii="仿宋" w:hAnsi="仿宋" w:eastAsia="仿宋"/>
                <w:sz w:val="28"/>
                <w:szCs w:val="28"/>
              </w:rPr>
            </w:pPr>
            <w:r>
              <w:rPr>
                <w:rFonts w:hint="eastAsia" w:ascii="仿宋" w:hAnsi="仿宋" w:eastAsia="仿宋"/>
                <w:sz w:val="28"/>
                <w:szCs w:val="28"/>
              </w:rPr>
              <w:t>7</w:t>
            </w:r>
          </w:p>
        </w:tc>
        <w:tc>
          <w:tcPr>
            <w:tcW w:w="1974" w:type="dxa"/>
            <w:vAlign w:val="center"/>
          </w:tcPr>
          <w:p w14:paraId="24BE57FB">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567F7950">
            <w:pPr>
              <w:jc w:val="center"/>
              <w:rPr>
                <w:rFonts w:hint="eastAsia" w:ascii="仿宋" w:hAnsi="仿宋" w:eastAsia="仿宋"/>
                <w:sz w:val="28"/>
                <w:szCs w:val="28"/>
              </w:rPr>
            </w:pPr>
            <w:r>
              <w:rPr>
                <w:rFonts w:hint="eastAsia" w:ascii="仿宋" w:hAnsi="仿宋" w:eastAsia="仿宋"/>
                <w:sz w:val="28"/>
                <w:szCs w:val="28"/>
              </w:rPr>
              <w:t>其他</w:t>
            </w:r>
          </w:p>
        </w:tc>
        <w:tc>
          <w:tcPr>
            <w:tcW w:w="5266" w:type="dxa"/>
            <w:vAlign w:val="center"/>
          </w:tcPr>
          <w:p w14:paraId="735DC501">
            <w:pPr>
              <w:rPr>
                <w:rFonts w:hint="eastAsia" w:ascii="仿宋" w:hAnsi="仿宋" w:eastAsia="仿宋"/>
                <w:sz w:val="28"/>
                <w:szCs w:val="28"/>
              </w:rPr>
            </w:pPr>
            <w:r>
              <w:rPr>
                <w:rFonts w:hint="eastAsia" w:ascii="仿宋" w:hAnsi="仿宋" w:eastAsia="仿宋"/>
                <w:sz w:val="28"/>
                <w:szCs w:val="28"/>
              </w:rPr>
              <w:t>本项目为交钥匙工程，所有货物、材料、运输、转运、辅材、安装、施工、调试、验收、培训、税金等费用均包含在总价中，请在报价时予以考虑。</w:t>
            </w:r>
          </w:p>
        </w:tc>
      </w:tr>
    </w:tbl>
    <w:p w14:paraId="2D0E2275">
      <w:pPr>
        <w:rPr>
          <w:rFonts w:hint="eastAsia" w:ascii="仿宋" w:hAnsi="仿宋" w:eastAsia="仿宋"/>
          <w:sz w:val="32"/>
          <w:szCs w:val="32"/>
        </w:rPr>
      </w:pPr>
    </w:p>
    <w:tbl>
      <w:tblPr>
        <w:tblStyle w:val="13"/>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10AD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blCellSpacing w:w="0" w:type="dxa"/>
          <w:jc w:val="center"/>
        </w:trPr>
        <w:tc>
          <w:tcPr>
            <w:tcW w:w="1129" w:type="dxa"/>
            <w:vAlign w:val="center"/>
          </w:tcPr>
          <w:p w14:paraId="45C67FE2">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6B24DB76">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00044052">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3E244668">
            <w:pPr>
              <w:jc w:val="center"/>
              <w:rPr>
                <w:rFonts w:hint="eastAsia" w:ascii="仿宋" w:hAnsi="仿宋" w:eastAsia="仿宋"/>
                <w:sz w:val="28"/>
                <w:szCs w:val="28"/>
              </w:rPr>
            </w:pPr>
            <w:r>
              <w:rPr>
                <w:rFonts w:hint="eastAsia" w:ascii="仿宋" w:hAnsi="仿宋" w:eastAsia="仿宋"/>
                <w:b/>
                <w:bCs/>
                <w:sz w:val="28"/>
                <w:szCs w:val="28"/>
              </w:rPr>
              <w:t>指标要求</w:t>
            </w:r>
          </w:p>
        </w:tc>
      </w:tr>
      <w:tr w14:paraId="7817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2A2A5D10">
            <w:pPr>
              <w:jc w:val="center"/>
              <w:rPr>
                <w:rFonts w:hint="eastAsia" w:ascii="仿宋" w:hAnsi="仿宋" w:eastAsia="仿宋"/>
                <w:b/>
                <w:bCs/>
                <w:sz w:val="28"/>
                <w:szCs w:val="28"/>
              </w:rPr>
            </w:pPr>
            <w:r>
              <w:rPr>
                <w:rFonts w:hint="eastAsia" w:ascii="仿宋" w:hAnsi="仿宋" w:eastAsia="仿宋"/>
                <w:sz w:val="28"/>
                <w:szCs w:val="28"/>
              </w:rPr>
              <w:t>1</w:t>
            </w:r>
          </w:p>
        </w:tc>
        <w:tc>
          <w:tcPr>
            <w:tcW w:w="1974" w:type="dxa"/>
            <w:tcBorders>
              <w:top w:val="single" w:color="auto" w:sz="4" w:space="0"/>
              <w:left w:val="single" w:color="auto" w:sz="4" w:space="0"/>
              <w:bottom w:val="single" w:color="auto" w:sz="4" w:space="0"/>
              <w:right w:val="single" w:color="auto" w:sz="4" w:space="0"/>
            </w:tcBorders>
            <w:vAlign w:val="center"/>
          </w:tcPr>
          <w:p w14:paraId="3640E789">
            <w:pPr>
              <w:jc w:val="center"/>
              <w:rPr>
                <w:rFonts w:hint="eastAsia" w:ascii="仿宋" w:hAnsi="仿宋" w:eastAsia="仿宋"/>
                <w:b/>
                <w:bCs/>
                <w:sz w:val="28"/>
                <w:szCs w:val="28"/>
              </w:rPr>
            </w:pPr>
            <w:r>
              <w:rPr>
                <w:rFonts w:hint="eastAsia" w:ascii="仿宋" w:hAnsi="仿宋" w:eastAsia="仿宋"/>
                <w:sz w:val="28"/>
                <w:szCs w:val="28"/>
              </w:rPr>
              <w:t>▲</w:t>
            </w:r>
          </w:p>
        </w:tc>
        <w:tc>
          <w:tcPr>
            <w:tcW w:w="1974" w:type="dxa"/>
            <w:tcBorders>
              <w:top w:val="single" w:color="auto" w:sz="4" w:space="0"/>
              <w:left w:val="single" w:color="auto" w:sz="4" w:space="0"/>
              <w:bottom w:val="single" w:color="auto" w:sz="4" w:space="0"/>
              <w:right w:val="single" w:color="auto" w:sz="4" w:space="0"/>
            </w:tcBorders>
            <w:vAlign w:val="center"/>
          </w:tcPr>
          <w:p w14:paraId="72FF3980">
            <w:pPr>
              <w:jc w:val="center"/>
              <w:rPr>
                <w:rFonts w:hint="eastAsia" w:ascii="仿宋" w:hAnsi="仿宋" w:eastAsia="仿宋"/>
                <w:b/>
                <w:bCs/>
                <w:sz w:val="28"/>
                <w:szCs w:val="28"/>
              </w:rPr>
            </w:pPr>
            <w:r>
              <w:rPr>
                <w:rFonts w:hint="eastAsia" w:ascii="仿宋" w:hAnsi="仿宋" w:eastAsia="仿宋" w:cs="宋体"/>
                <w:snapToGrid w:val="0"/>
                <w:kern w:val="0"/>
                <w:sz w:val="28"/>
                <w:szCs w:val="28"/>
                <w:lang w:val="zh-CN"/>
              </w:rPr>
              <w:t>人员要求</w:t>
            </w:r>
          </w:p>
        </w:tc>
        <w:tc>
          <w:tcPr>
            <w:tcW w:w="5266" w:type="dxa"/>
            <w:tcBorders>
              <w:top w:val="single" w:color="auto" w:sz="4" w:space="0"/>
              <w:left w:val="single" w:color="auto" w:sz="4" w:space="0"/>
              <w:bottom w:val="single" w:color="auto" w:sz="4" w:space="0"/>
              <w:right w:val="single" w:color="auto" w:sz="4" w:space="0"/>
            </w:tcBorders>
            <w:vAlign w:val="center"/>
          </w:tcPr>
          <w:p w14:paraId="5E0249B0">
            <w:pPr>
              <w:pStyle w:val="11"/>
              <w:spacing w:after="0" w:line="440" w:lineRule="exact"/>
              <w:ind w:firstLine="0" w:firstLineChars="0"/>
              <w:jc w:val="left"/>
              <w:rPr>
                <w:rFonts w:hint="eastAsia" w:ascii="仿宋" w:hAnsi="仿宋" w:eastAsia="仿宋" w:cs="宋体"/>
                <w:kern w:val="0"/>
                <w:sz w:val="28"/>
                <w:szCs w:val="28"/>
              </w:rPr>
            </w:pPr>
            <w:r>
              <w:rPr>
                <w:rFonts w:hint="eastAsia" w:ascii="仿宋" w:hAnsi="仿宋" w:eastAsia="仿宋"/>
                <w:sz w:val="28"/>
                <w:szCs w:val="28"/>
              </w:rPr>
              <w:t>1、</w:t>
            </w:r>
            <w:r>
              <w:rPr>
                <w:rFonts w:hint="eastAsia" w:ascii="仿宋" w:hAnsi="仿宋" w:eastAsia="仿宋" w:cs="仿宋"/>
                <w:kern w:val="0"/>
                <w:sz w:val="28"/>
                <w:szCs w:val="28"/>
              </w:rPr>
              <w:t>拟派项目施工技术负责人需持有</w:t>
            </w:r>
            <w:r>
              <w:rPr>
                <w:rFonts w:hint="eastAsia" w:ascii="仿宋" w:hAnsi="仿宋" w:eastAsia="仿宋" w:cs="宋体"/>
                <w:kern w:val="0"/>
                <w:sz w:val="28"/>
                <w:szCs w:val="28"/>
              </w:rPr>
              <w:t>“计算机技术与软件专业技术资格”中级及以上证书。</w:t>
            </w:r>
          </w:p>
          <w:p w14:paraId="444DCF52">
            <w:pPr>
              <w:pStyle w:val="11"/>
              <w:spacing w:after="0" w:line="440" w:lineRule="exact"/>
              <w:ind w:firstLine="0" w:firstLineChars="0"/>
              <w:jc w:val="left"/>
              <w:rPr>
                <w:rFonts w:hint="eastAsia" w:ascii="仿宋" w:hAnsi="仿宋" w:eastAsia="仿宋"/>
                <w:sz w:val="28"/>
                <w:szCs w:val="28"/>
              </w:rPr>
            </w:pPr>
            <w:r>
              <w:rPr>
                <w:rFonts w:hint="eastAsia" w:ascii="仿宋" w:hAnsi="仿宋" w:eastAsia="仿宋"/>
                <w:sz w:val="28"/>
                <w:szCs w:val="28"/>
              </w:rPr>
              <w:t>2、本次委派的施工团队人员中具有CISP（中国信息安全测评中心注册信息安全专业人员）证书。</w:t>
            </w:r>
          </w:p>
        </w:tc>
      </w:tr>
      <w:tr w14:paraId="732C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3D4660E3">
            <w:pPr>
              <w:jc w:val="center"/>
              <w:rPr>
                <w:rFonts w:hint="eastAsia" w:ascii="仿宋" w:hAnsi="仿宋" w:eastAsia="仿宋"/>
                <w:b/>
                <w:bCs/>
                <w:sz w:val="28"/>
                <w:szCs w:val="28"/>
              </w:rPr>
            </w:pPr>
            <w:r>
              <w:rPr>
                <w:rFonts w:hint="eastAsia" w:ascii="仿宋" w:hAnsi="仿宋" w:eastAsia="仿宋"/>
                <w:color w:val="212121"/>
                <w:sz w:val="28"/>
                <w:szCs w:val="28"/>
              </w:rPr>
              <w:t>3</w:t>
            </w:r>
          </w:p>
        </w:tc>
        <w:tc>
          <w:tcPr>
            <w:tcW w:w="1974" w:type="dxa"/>
            <w:tcBorders>
              <w:top w:val="single" w:color="auto" w:sz="4" w:space="0"/>
              <w:left w:val="single" w:color="auto" w:sz="4" w:space="0"/>
              <w:bottom w:val="single" w:color="auto" w:sz="4" w:space="0"/>
              <w:right w:val="single" w:color="auto" w:sz="4" w:space="0"/>
            </w:tcBorders>
            <w:vAlign w:val="center"/>
          </w:tcPr>
          <w:p w14:paraId="4FFFBCCE">
            <w:pPr>
              <w:jc w:val="center"/>
              <w:rPr>
                <w:rFonts w:hint="eastAsia" w:ascii="仿宋" w:hAnsi="仿宋" w:eastAsia="仿宋"/>
                <w:b/>
                <w:bCs/>
                <w:sz w:val="28"/>
                <w:szCs w:val="28"/>
              </w:rPr>
            </w:pPr>
            <w:r>
              <w:rPr>
                <w:rFonts w:hint="eastAsia" w:ascii="仿宋" w:hAnsi="仿宋" w:eastAsia="仿宋"/>
                <w:color w:val="212121"/>
                <w:sz w:val="28"/>
                <w:szCs w:val="28"/>
              </w:rPr>
              <w:t>▲</w:t>
            </w:r>
          </w:p>
        </w:tc>
        <w:tc>
          <w:tcPr>
            <w:tcW w:w="1974" w:type="dxa"/>
            <w:tcBorders>
              <w:top w:val="single" w:color="auto" w:sz="4" w:space="0"/>
              <w:left w:val="single" w:color="auto" w:sz="4" w:space="0"/>
              <w:bottom w:val="single" w:color="auto" w:sz="4" w:space="0"/>
              <w:right w:val="single" w:color="auto" w:sz="4" w:space="0"/>
            </w:tcBorders>
            <w:vAlign w:val="center"/>
          </w:tcPr>
          <w:p w14:paraId="20FB0A99">
            <w:pPr>
              <w:jc w:val="center"/>
              <w:rPr>
                <w:rFonts w:hint="eastAsia" w:ascii="仿宋" w:hAnsi="仿宋" w:eastAsia="仿宋"/>
                <w:b/>
                <w:bCs/>
                <w:sz w:val="28"/>
                <w:szCs w:val="28"/>
              </w:rPr>
            </w:pPr>
            <w:r>
              <w:rPr>
                <w:rFonts w:hint="eastAsia" w:ascii="仿宋" w:hAnsi="仿宋" w:eastAsia="仿宋" w:cs="宋体"/>
                <w:snapToGrid w:val="0"/>
                <w:color w:val="212121"/>
                <w:kern w:val="0"/>
                <w:sz w:val="28"/>
                <w:szCs w:val="28"/>
                <w:lang w:val="zh-CN"/>
              </w:rPr>
              <w:t>案例</w:t>
            </w:r>
          </w:p>
        </w:tc>
        <w:tc>
          <w:tcPr>
            <w:tcW w:w="5266" w:type="dxa"/>
            <w:tcBorders>
              <w:top w:val="single" w:color="auto" w:sz="4" w:space="0"/>
              <w:left w:val="single" w:color="auto" w:sz="4" w:space="0"/>
              <w:bottom w:val="single" w:color="auto" w:sz="4" w:space="0"/>
              <w:right w:val="single" w:color="auto" w:sz="4" w:space="0"/>
            </w:tcBorders>
            <w:vAlign w:val="center"/>
          </w:tcPr>
          <w:p w14:paraId="59D2484D">
            <w:pPr>
              <w:jc w:val="left"/>
              <w:rPr>
                <w:rFonts w:hint="eastAsia" w:ascii="仿宋" w:hAnsi="仿宋" w:eastAsia="仿宋"/>
                <w:b/>
                <w:bCs/>
                <w:sz w:val="28"/>
                <w:szCs w:val="28"/>
              </w:rPr>
            </w:pPr>
            <w:r>
              <w:rPr>
                <w:rFonts w:hint="eastAsia" w:ascii="仿宋" w:hAnsi="仿宋" w:eastAsia="仿宋"/>
                <w:color w:val="212121"/>
                <w:sz w:val="28"/>
                <w:szCs w:val="28"/>
              </w:rPr>
              <w:t>投标人至2021年1月起具有不少于两个智慧消防项目案例。</w:t>
            </w:r>
          </w:p>
        </w:tc>
      </w:tr>
    </w:tbl>
    <w:p w14:paraId="17AF93D1">
      <w:pPr>
        <w:rPr>
          <w:rFonts w:hint="eastAsia" w:ascii="仿宋" w:hAnsi="仿宋" w:eastAsia="仿宋"/>
          <w:sz w:val="28"/>
          <w:szCs w:val="28"/>
        </w:rPr>
      </w:pPr>
    </w:p>
    <w:tbl>
      <w:tblPr>
        <w:tblStyle w:val="13"/>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29C6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14:paraId="077825EC">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275384E9">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4A1E9EA2">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13B88B57">
            <w:pPr>
              <w:jc w:val="center"/>
              <w:rPr>
                <w:rFonts w:hint="eastAsia" w:ascii="仿宋" w:hAnsi="仿宋" w:eastAsia="仿宋"/>
                <w:sz w:val="28"/>
                <w:szCs w:val="28"/>
              </w:rPr>
            </w:pPr>
            <w:r>
              <w:rPr>
                <w:rFonts w:hint="eastAsia" w:ascii="仿宋" w:hAnsi="仿宋" w:eastAsia="仿宋"/>
                <w:b/>
                <w:bCs/>
                <w:sz w:val="28"/>
                <w:szCs w:val="28"/>
              </w:rPr>
              <w:t>指标要求</w:t>
            </w:r>
          </w:p>
        </w:tc>
      </w:tr>
      <w:tr w14:paraId="3311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3543A012">
            <w:pPr>
              <w:jc w:val="center"/>
              <w:rPr>
                <w:rFonts w:hint="eastAsia" w:ascii="仿宋" w:hAnsi="仿宋" w:eastAsia="仿宋"/>
                <w:b/>
                <w:bCs/>
                <w:sz w:val="28"/>
                <w:szCs w:val="28"/>
              </w:rPr>
            </w:pPr>
            <w:r>
              <w:rPr>
                <w:rFonts w:hint="eastAsia" w:ascii="仿宋" w:hAnsi="仿宋" w:eastAsia="仿宋"/>
                <w:sz w:val="28"/>
                <w:szCs w:val="28"/>
              </w:rPr>
              <w:t>1</w:t>
            </w:r>
          </w:p>
        </w:tc>
        <w:tc>
          <w:tcPr>
            <w:tcW w:w="1974" w:type="dxa"/>
            <w:tcBorders>
              <w:top w:val="single" w:color="auto" w:sz="4" w:space="0"/>
              <w:left w:val="single" w:color="auto" w:sz="4" w:space="0"/>
              <w:bottom w:val="single" w:color="auto" w:sz="4" w:space="0"/>
              <w:right w:val="single" w:color="auto" w:sz="4" w:space="0"/>
            </w:tcBorders>
            <w:vAlign w:val="center"/>
          </w:tcPr>
          <w:p w14:paraId="7E6091A0">
            <w:pPr>
              <w:jc w:val="center"/>
              <w:rPr>
                <w:rFonts w:hint="eastAsia" w:ascii="仿宋" w:hAnsi="仿宋" w:eastAsia="仿宋"/>
                <w:b/>
                <w:bCs/>
                <w:sz w:val="28"/>
                <w:szCs w:val="28"/>
              </w:rPr>
            </w:pPr>
            <w:r>
              <w:rPr>
                <w:rFonts w:hint="eastAsia" w:ascii="仿宋" w:hAnsi="仿宋" w:eastAsia="仿宋"/>
                <w:b/>
                <w:bCs/>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59BFA514">
            <w:pPr>
              <w:jc w:val="center"/>
              <w:rPr>
                <w:rFonts w:hint="eastAsia" w:ascii="仿宋" w:hAnsi="仿宋" w:eastAsia="仿宋"/>
                <w:b/>
                <w:bCs/>
                <w:sz w:val="28"/>
                <w:szCs w:val="28"/>
              </w:rPr>
            </w:pPr>
            <w:r>
              <w:rPr>
                <w:rFonts w:hint="eastAsia" w:ascii="仿宋" w:hAnsi="仿宋" w:eastAsia="仿宋" w:cs="宋体"/>
                <w:snapToGrid w:val="0"/>
                <w:kern w:val="0"/>
                <w:sz w:val="28"/>
                <w:szCs w:val="28"/>
                <w:lang w:val="zh-CN"/>
              </w:rPr>
              <w:t>人员要求</w:t>
            </w:r>
          </w:p>
        </w:tc>
        <w:tc>
          <w:tcPr>
            <w:tcW w:w="5266" w:type="dxa"/>
            <w:tcBorders>
              <w:top w:val="single" w:color="auto" w:sz="4" w:space="0"/>
              <w:left w:val="single" w:color="auto" w:sz="4" w:space="0"/>
              <w:bottom w:val="single" w:color="auto" w:sz="4" w:space="0"/>
              <w:right w:val="single" w:color="auto" w:sz="4" w:space="0"/>
            </w:tcBorders>
            <w:vAlign w:val="center"/>
          </w:tcPr>
          <w:p w14:paraId="3736240D">
            <w:pPr>
              <w:jc w:val="left"/>
              <w:rPr>
                <w:rFonts w:hint="eastAsia" w:ascii="仿宋" w:hAnsi="仿宋" w:eastAsia="仿宋"/>
                <w:b/>
                <w:bCs/>
                <w:sz w:val="28"/>
                <w:szCs w:val="28"/>
              </w:rPr>
            </w:pPr>
            <w:r>
              <w:rPr>
                <w:rFonts w:hint="eastAsia" w:ascii="仿宋" w:hAnsi="仿宋" w:eastAsia="仿宋" w:cs="宋体"/>
                <w:sz w:val="28"/>
                <w:szCs w:val="28"/>
              </w:rPr>
              <w:t>派遣其精通业务的、健康的、合格的技术人员提供售后技术服务，技术人员须具备弱电系统工程师（高级）证书</w:t>
            </w:r>
          </w:p>
        </w:tc>
      </w:tr>
      <w:tr w14:paraId="1443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4C688DF2">
            <w:pPr>
              <w:jc w:val="center"/>
              <w:rPr>
                <w:rFonts w:hint="eastAsia" w:ascii="仿宋" w:hAnsi="仿宋" w:eastAsia="仿宋"/>
                <w:b/>
                <w:bCs/>
                <w:sz w:val="28"/>
                <w:szCs w:val="28"/>
              </w:rPr>
            </w:pPr>
            <w:r>
              <w:rPr>
                <w:rFonts w:hint="eastAsia" w:ascii="仿宋" w:hAnsi="仿宋" w:eastAsia="仿宋"/>
                <w:color w:val="212121"/>
                <w:sz w:val="28"/>
                <w:szCs w:val="28"/>
              </w:rPr>
              <w:t>2</w:t>
            </w:r>
          </w:p>
        </w:tc>
        <w:tc>
          <w:tcPr>
            <w:tcW w:w="1974" w:type="dxa"/>
            <w:tcBorders>
              <w:top w:val="single" w:color="auto" w:sz="4" w:space="0"/>
              <w:left w:val="single" w:color="auto" w:sz="4" w:space="0"/>
              <w:bottom w:val="single" w:color="auto" w:sz="4" w:space="0"/>
              <w:right w:val="single" w:color="auto" w:sz="4" w:space="0"/>
            </w:tcBorders>
            <w:vAlign w:val="center"/>
          </w:tcPr>
          <w:p w14:paraId="621A5DB8">
            <w:pPr>
              <w:jc w:val="center"/>
              <w:rPr>
                <w:rFonts w:hint="eastAsia" w:ascii="仿宋" w:hAnsi="仿宋" w:eastAsia="仿宋"/>
                <w:b/>
                <w:bCs/>
                <w:sz w:val="28"/>
                <w:szCs w:val="28"/>
              </w:rPr>
            </w:pPr>
            <w:r>
              <w:rPr>
                <w:rFonts w:hint="eastAsia" w:ascii="仿宋" w:hAnsi="仿宋" w:eastAsia="仿宋"/>
                <w:b/>
                <w:bCs/>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288A4FC2">
            <w:pPr>
              <w:jc w:val="center"/>
              <w:rPr>
                <w:rFonts w:hint="eastAsia" w:ascii="仿宋" w:hAnsi="仿宋" w:eastAsia="仿宋"/>
                <w:b/>
                <w:bCs/>
                <w:sz w:val="28"/>
                <w:szCs w:val="28"/>
              </w:rPr>
            </w:pPr>
            <w:r>
              <w:rPr>
                <w:rFonts w:hint="eastAsia" w:ascii="仿宋" w:hAnsi="仿宋" w:eastAsia="仿宋" w:cs="宋体"/>
                <w:snapToGrid w:val="0"/>
                <w:color w:val="212121"/>
                <w:kern w:val="0"/>
                <w:sz w:val="28"/>
                <w:szCs w:val="28"/>
                <w:lang w:val="zh-CN"/>
              </w:rPr>
              <w:t>安全保障</w:t>
            </w:r>
          </w:p>
        </w:tc>
        <w:tc>
          <w:tcPr>
            <w:tcW w:w="5266" w:type="dxa"/>
            <w:tcBorders>
              <w:top w:val="single" w:color="auto" w:sz="4" w:space="0"/>
              <w:left w:val="single" w:color="auto" w:sz="4" w:space="0"/>
              <w:bottom w:val="single" w:color="auto" w:sz="4" w:space="0"/>
              <w:right w:val="single" w:color="auto" w:sz="4" w:space="0"/>
            </w:tcBorders>
            <w:vAlign w:val="center"/>
          </w:tcPr>
          <w:p w14:paraId="5D229F3D">
            <w:pPr>
              <w:jc w:val="left"/>
              <w:rPr>
                <w:rFonts w:hint="eastAsia" w:ascii="仿宋" w:hAnsi="仿宋" w:eastAsia="仿宋"/>
                <w:b/>
                <w:bCs/>
                <w:sz w:val="28"/>
                <w:szCs w:val="28"/>
              </w:rPr>
            </w:pPr>
            <w:r>
              <w:rPr>
                <w:rFonts w:hint="eastAsia" w:ascii="仿宋" w:hAnsi="仿宋" w:eastAsia="仿宋" w:cs="宋体"/>
                <w:color w:val="212121"/>
                <w:kern w:val="0"/>
                <w:sz w:val="28"/>
                <w:szCs w:val="28"/>
              </w:rPr>
              <w:t>火灾报警控制器、LoRa无线烟感、无线中继器产品的</w:t>
            </w:r>
            <w:r>
              <w:rPr>
                <w:rFonts w:hint="eastAsia" w:ascii="仿宋" w:hAnsi="仿宋" w:eastAsia="仿宋"/>
                <w:color w:val="212121"/>
                <w:sz w:val="28"/>
                <w:szCs w:val="28"/>
              </w:rPr>
              <w:t>制造商具有投保产品责任保险，每次事故赔偿限额至少3000万人民币；每次事故每人人身伤亡赔偿限额至少100万人民币；累计赔偿限额至少3000万人民币。</w:t>
            </w:r>
          </w:p>
        </w:tc>
      </w:tr>
    </w:tbl>
    <w:p w14:paraId="19E7D13F">
      <w:pPr>
        <w:rPr>
          <w:rFonts w:hint="eastAsia"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14:paraId="063427CF">
      <w:pPr>
        <w:pStyle w:val="2"/>
        <w:rPr>
          <w:rFonts w:hint="eastAsia"/>
        </w:rPr>
      </w:pPr>
    </w:p>
    <w:p w14:paraId="124C9C47">
      <w:pPr>
        <w:pageBreakBefore/>
        <w:rPr>
          <w:rFonts w:hint="eastAsia"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201404FF">
      <w:pPr>
        <w:autoSpaceDE w:val="0"/>
        <w:autoSpaceDN w:val="0"/>
        <w:adjustRightInd w:val="0"/>
        <w:snapToGrid w:val="0"/>
        <w:spacing w:line="360" w:lineRule="auto"/>
        <w:jc w:val="left"/>
        <w:rPr>
          <w:rFonts w:hint="eastAsia" w:ascii="仿宋" w:hAnsi="仿宋" w:eastAsia="仿宋" w:cs="宋体"/>
          <w:snapToGrid w:val="0"/>
          <w:kern w:val="0"/>
          <w:sz w:val="32"/>
          <w:szCs w:val="32"/>
          <w:lang w:val="zh-CN"/>
        </w:rPr>
      </w:pPr>
    </w:p>
    <w:p w14:paraId="3B105CC4">
      <w:pPr>
        <w:pStyle w:val="10"/>
        <w:widowControl/>
        <w:shd w:val="clear" w:color="auto" w:fill="FFFFFF"/>
        <w:spacing w:before="0" w:beforeAutospacing="0" w:after="0" w:afterAutospacing="0" w:line="800" w:lineRule="exact"/>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南昌大学×××采购项目</w:t>
      </w:r>
    </w:p>
    <w:p w14:paraId="7DC39288">
      <w:pPr>
        <w:spacing w:line="8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14:paraId="52D9689C">
      <w:pPr>
        <w:rPr>
          <w:rFonts w:hint="eastAsia" w:ascii="仿宋" w:hAnsi="仿宋" w:eastAsia="仿宋" w:cs="仿宋"/>
          <w:sz w:val="32"/>
          <w:szCs w:val="32"/>
        </w:rPr>
      </w:pPr>
    </w:p>
    <w:p w14:paraId="798F1697">
      <w:pPr>
        <w:rPr>
          <w:rFonts w:hint="eastAsia" w:ascii="仿宋" w:hAnsi="仿宋" w:eastAsia="仿宋" w:cs="仿宋"/>
          <w:sz w:val="32"/>
          <w:szCs w:val="32"/>
        </w:rPr>
      </w:pPr>
    </w:p>
    <w:p w14:paraId="01628A9B">
      <w:pPr>
        <w:rPr>
          <w:rFonts w:hint="eastAsia" w:ascii="仿宋" w:hAnsi="仿宋" w:eastAsia="仿宋" w:cs="仿宋"/>
          <w:sz w:val="32"/>
          <w:szCs w:val="32"/>
        </w:rPr>
      </w:pPr>
    </w:p>
    <w:p w14:paraId="3C6C1794">
      <w:pPr>
        <w:tabs>
          <w:tab w:val="left" w:pos="7055"/>
        </w:tabs>
        <w:jc w:val="left"/>
        <w:rPr>
          <w:rFonts w:hint="eastAsia" w:ascii="仿宋" w:hAnsi="仿宋" w:eastAsia="仿宋" w:cs="仿宋"/>
          <w:sz w:val="32"/>
          <w:szCs w:val="32"/>
        </w:rPr>
      </w:pPr>
      <w:r>
        <w:rPr>
          <w:rFonts w:hint="eastAsia" w:ascii="仿宋" w:hAnsi="仿宋" w:eastAsia="仿宋" w:cs="仿宋"/>
          <w:sz w:val="32"/>
          <w:szCs w:val="32"/>
        </w:rPr>
        <w:tab/>
      </w:r>
    </w:p>
    <w:p w14:paraId="19D1563F">
      <w:pPr>
        <w:spacing w:line="800" w:lineRule="exact"/>
        <w:ind w:firstLine="643" w:firstLineChars="200"/>
        <w:jc w:val="left"/>
        <w:rPr>
          <w:rFonts w:hint="eastAsia" w:ascii="仿宋" w:hAnsi="仿宋" w:eastAsia="仿宋" w:cs="仿宋"/>
          <w:b/>
          <w:bCs/>
          <w:kern w:val="0"/>
          <w:sz w:val="32"/>
          <w:szCs w:val="32"/>
        </w:rPr>
      </w:pPr>
    </w:p>
    <w:p w14:paraId="0EE666C9">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公司名称（盖章）：</w:t>
      </w:r>
    </w:p>
    <w:p w14:paraId="3801F3D4">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日期：   年  月  日</w:t>
      </w:r>
    </w:p>
    <w:p w14:paraId="3DF3D871">
      <w:pPr>
        <w:pStyle w:val="11"/>
        <w:ind w:firstLine="210"/>
      </w:pPr>
    </w:p>
    <w:p w14:paraId="4EC34B61">
      <w:pPr>
        <w:pStyle w:val="12"/>
        <w:ind w:firstLine="640"/>
        <w:rPr>
          <w:rFonts w:hint="eastAsia" w:ascii="仿宋" w:hAnsi="仿宋" w:eastAsia="仿宋"/>
          <w:sz w:val="32"/>
          <w:szCs w:val="32"/>
        </w:rPr>
      </w:pPr>
    </w:p>
    <w:p w14:paraId="352FAA65">
      <w:pPr>
        <w:pStyle w:val="5"/>
        <w:ind w:firstLine="0" w:firstLineChars="0"/>
        <w:rPr>
          <w:rFonts w:hint="eastAsia"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00A8BC96">
      <w:pPr>
        <w:pStyle w:val="5"/>
        <w:ind w:firstLine="0" w:firstLineChars="0"/>
        <w:rPr>
          <w:rFonts w:hint="eastAsia" w:ascii="仿宋" w:hAnsi="仿宋" w:eastAsia="仿宋" w:cs="仿宋"/>
          <w:kern w:val="0"/>
          <w:sz w:val="32"/>
          <w:szCs w:val="32"/>
        </w:rPr>
      </w:pPr>
    </w:p>
    <w:p w14:paraId="64577C70">
      <w:pPr>
        <w:pStyle w:val="5"/>
        <w:ind w:firstLine="0" w:firstLineChars="0"/>
        <w:rPr>
          <w:rFonts w:hint="eastAsia"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3"/>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39E3FDE6">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CC81">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A73">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05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B69D">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8E8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EE04">
            <w:pPr>
              <w:widowControl/>
              <w:jc w:val="center"/>
              <w:textAlignment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38F7376A">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05A">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D7B2">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9D3">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C68">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2B6">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B0C">
            <w:pPr>
              <w:widowControl/>
              <w:jc w:val="center"/>
              <w:textAlignment w:val="center"/>
              <w:rPr>
                <w:rFonts w:hint="eastAsia" w:ascii="仿宋" w:hAnsi="仿宋" w:eastAsia="仿宋" w:cs="仿宋"/>
                <w:color w:val="000000"/>
                <w:kern w:val="0"/>
                <w:sz w:val="32"/>
                <w:szCs w:val="32"/>
              </w:rPr>
            </w:pPr>
          </w:p>
        </w:tc>
      </w:tr>
      <w:tr w14:paraId="2FBC7550">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EFE">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D08">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85D">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662">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C33">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7E6">
            <w:pPr>
              <w:widowControl/>
              <w:jc w:val="center"/>
              <w:textAlignment w:val="center"/>
              <w:rPr>
                <w:rFonts w:hint="eastAsia" w:ascii="仿宋" w:hAnsi="仿宋" w:eastAsia="仿宋" w:cs="仿宋"/>
                <w:color w:val="000000"/>
                <w:kern w:val="0"/>
                <w:sz w:val="32"/>
                <w:szCs w:val="32"/>
              </w:rPr>
            </w:pPr>
          </w:p>
        </w:tc>
      </w:tr>
      <w:tr w14:paraId="2DA19E8B">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0F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22B">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9B4">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D11">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45F">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07D">
            <w:pPr>
              <w:widowControl/>
              <w:jc w:val="center"/>
              <w:textAlignment w:val="center"/>
              <w:rPr>
                <w:rFonts w:hint="eastAsia" w:ascii="仿宋" w:hAnsi="仿宋" w:eastAsia="仿宋" w:cs="仿宋"/>
                <w:color w:val="000000"/>
                <w:kern w:val="0"/>
                <w:sz w:val="32"/>
                <w:szCs w:val="32"/>
              </w:rPr>
            </w:pPr>
          </w:p>
        </w:tc>
      </w:tr>
    </w:tbl>
    <w:p w14:paraId="2C4BF9F6">
      <w:pPr>
        <w:pStyle w:val="5"/>
        <w:ind w:firstLine="0" w:firstLineChars="0"/>
        <w:rPr>
          <w:rFonts w:hint="eastAsia" w:ascii="仿宋" w:hAnsi="仿宋" w:eastAsia="仿宋" w:cs="仿宋"/>
          <w:kern w:val="0"/>
          <w:sz w:val="32"/>
          <w:szCs w:val="32"/>
        </w:rPr>
      </w:pPr>
    </w:p>
    <w:p w14:paraId="79C1266F">
      <w:pPr>
        <w:rPr>
          <w:rFonts w:hint="eastAsia"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14:paraId="01EC68E3">
      <w:pPr>
        <w:ind w:firstLine="643" w:firstLineChars="200"/>
        <w:rPr>
          <w:rFonts w:hint="eastAsia" w:ascii="仿宋" w:hAnsi="仿宋" w:eastAsia="仿宋"/>
          <w:b/>
          <w:sz w:val="32"/>
          <w:szCs w:val="32"/>
        </w:rPr>
      </w:pPr>
    </w:p>
    <w:p w14:paraId="658089FB">
      <w:pPr>
        <w:ind w:firstLine="643" w:firstLineChars="200"/>
        <w:rPr>
          <w:rFonts w:hint="eastAsia" w:ascii="仿宋" w:hAnsi="仿宋" w:eastAsia="仿宋"/>
          <w:b/>
          <w:sz w:val="32"/>
          <w:szCs w:val="32"/>
        </w:rPr>
      </w:pPr>
    </w:p>
    <w:p w14:paraId="0F3A40E6">
      <w:pPr>
        <w:rPr>
          <w:rFonts w:hint="eastAsia"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34209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8D87273">
            <w:pPr>
              <w:pStyle w:val="5"/>
              <w:ind w:firstLine="0" w:firstLineChars="0"/>
              <w:rPr>
                <w:rFonts w:hint="eastAsia"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32AB76C7">
            <w:pPr>
              <w:pStyle w:val="5"/>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14:paraId="76F87154">
            <w:pPr>
              <w:pStyle w:val="5"/>
              <w:ind w:firstLine="0" w:firstLineChars="0"/>
              <w:rPr>
                <w:rFonts w:hint="eastAsia" w:ascii="仿宋" w:hAnsi="仿宋" w:eastAsia="仿宋" w:cs="仿宋"/>
                <w:kern w:val="0"/>
                <w:sz w:val="32"/>
                <w:szCs w:val="32"/>
              </w:rPr>
            </w:pPr>
            <w:r>
              <w:rPr>
                <w:rFonts w:ascii="仿宋" w:hAnsi="仿宋" w:eastAsia="仿宋" w:cs="仿宋"/>
                <w:kern w:val="0"/>
                <w:sz w:val="32"/>
                <w:szCs w:val="32"/>
              </w:rPr>
              <w:t>备注</w:t>
            </w:r>
          </w:p>
        </w:tc>
      </w:tr>
      <w:tr w14:paraId="73149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614731D5">
            <w:pPr>
              <w:pStyle w:val="5"/>
              <w:ind w:firstLine="0" w:firstLineChars="0"/>
              <w:rPr>
                <w:rFonts w:hint="eastAsia" w:ascii="仿宋" w:hAnsi="仿宋" w:eastAsia="仿宋" w:cs="仿宋"/>
                <w:kern w:val="0"/>
                <w:sz w:val="32"/>
                <w:szCs w:val="32"/>
              </w:rPr>
            </w:pPr>
          </w:p>
        </w:tc>
        <w:tc>
          <w:tcPr>
            <w:tcW w:w="2409" w:type="dxa"/>
          </w:tcPr>
          <w:p w14:paraId="034FAB06">
            <w:pPr>
              <w:pStyle w:val="5"/>
              <w:ind w:firstLine="0" w:firstLineChars="0"/>
              <w:rPr>
                <w:rFonts w:hint="eastAsia" w:ascii="仿宋" w:hAnsi="仿宋" w:eastAsia="仿宋" w:cs="仿宋"/>
                <w:kern w:val="0"/>
                <w:sz w:val="32"/>
                <w:szCs w:val="32"/>
              </w:rPr>
            </w:pPr>
          </w:p>
        </w:tc>
        <w:tc>
          <w:tcPr>
            <w:tcW w:w="2268" w:type="dxa"/>
          </w:tcPr>
          <w:p w14:paraId="2260B536">
            <w:pPr>
              <w:pStyle w:val="5"/>
              <w:ind w:firstLine="0" w:firstLineChars="0"/>
              <w:rPr>
                <w:rFonts w:hint="eastAsia" w:ascii="仿宋" w:hAnsi="仿宋" w:eastAsia="仿宋" w:cs="仿宋"/>
                <w:kern w:val="0"/>
                <w:sz w:val="32"/>
                <w:szCs w:val="32"/>
              </w:rPr>
            </w:pPr>
          </w:p>
        </w:tc>
      </w:tr>
      <w:tr w14:paraId="316624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8CAA0CF">
            <w:pPr>
              <w:pStyle w:val="5"/>
              <w:ind w:firstLine="0" w:firstLineChars="0"/>
              <w:rPr>
                <w:rFonts w:hint="eastAsia" w:ascii="仿宋" w:hAnsi="仿宋" w:eastAsia="仿宋" w:cs="仿宋"/>
                <w:kern w:val="0"/>
                <w:sz w:val="32"/>
                <w:szCs w:val="32"/>
              </w:rPr>
            </w:pPr>
          </w:p>
        </w:tc>
        <w:tc>
          <w:tcPr>
            <w:tcW w:w="2409" w:type="dxa"/>
          </w:tcPr>
          <w:p w14:paraId="10882601">
            <w:pPr>
              <w:pStyle w:val="5"/>
              <w:ind w:firstLine="0" w:firstLineChars="0"/>
              <w:rPr>
                <w:rFonts w:hint="eastAsia" w:ascii="仿宋" w:hAnsi="仿宋" w:eastAsia="仿宋" w:cs="仿宋"/>
                <w:kern w:val="0"/>
                <w:sz w:val="32"/>
                <w:szCs w:val="32"/>
              </w:rPr>
            </w:pPr>
          </w:p>
        </w:tc>
        <w:tc>
          <w:tcPr>
            <w:tcW w:w="2268" w:type="dxa"/>
          </w:tcPr>
          <w:p w14:paraId="5226B121">
            <w:pPr>
              <w:pStyle w:val="5"/>
              <w:ind w:firstLine="0" w:firstLineChars="0"/>
              <w:rPr>
                <w:rFonts w:hint="eastAsia" w:ascii="仿宋" w:hAnsi="仿宋" w:eastAsia="仿宋" w:cs="仿宋"/>
                <w:kern w:val="0"/>
                <w:sz w:val="32"/>
                <w:szCs w:val="32"/>
              </w:rPr>
            </w:pPr>
          </w:p>
        </w:tc>
      </w:tr>
    </w:tbl>
    <w:p w14:paraId="369C5A20">
      <w:pPr>
        <w:pStyle w:val="5"/>
        <w:ind w:firstLine="0" w:firstLineChars="0"/>
        <w:jc w:val="center"/>
        <w:rPr>
          <w:rFonts w:hint="eastAsia" w:ascii="仿宋" w:hAnsi="仿宋" w:eastAsia="仿宋" w:cs="仿宋"/>
          <w:b/>
          <w:bCs/>
          <w:sz w:val="32"/>
          <w:szCs w:val="32"/>
        </w:rPr>
      </w:pPr>
    </w:p>
    <w:p w14:paraId="273A53F2">
      <w:pPr>
        <w:pStyle w:val="5"/>
        <w:ind w:firstLine="0" w:firstLineChars="0"/>
        <w:rPr>
          <w:rFonts w:hint="eastAsia" w:ascii="仿宋" w:hAnsi="仿宋" w:eastAsia="仿宋" w:cstheme="minorBidi"/>
          <w:b/>
          <w:sz w:val="32"/>
          <w:szCs w:val="32"/>
        </w:rPr>
      </w:pPr>
      <w:r>
        <w:rPr>
          <w:rFonts w:hint="eastAsia" w:ascii="仿宋" w:hAnsi="仿宋" w:eastAsia="仿宋" w:cstheme="minorBidi"/>
          <w:b/>
          <w:sz w:val="32"/>
          <w:szCs w:val="32"/>
        </w:rPr>
        <w:t>五、企业营业执照</w:t>
      </w:r>
    </w:p>
    <w:p w14:paraId="03B327FC">
      <w:pPr>
        <w:pStyle w:val="5"/>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致：南昌大学</w:t>
      </w:r>
    </w:p>
    <w:p w14:paraId="0B11A373">
      <w:pPr>
        <w:widowControl/>
        <w:spacing w:after="150" w:line="42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3EB82F65">
      <w:pPr>
        <w:widowControl/>
        <w:spacing w:after="150"/>
        <w:ind w:firstLine="420"/>
        <w:jc w:val="left"/>
        <w:rPr>
          <w:rFonts w:hint="eastAsia" w:ascii="仿宋" w:hAnsi="仿宋" w:eastAsia="仿宋" w:cs="仿宋"/>
          <w:kern w:val="0"/>
          <w:sz w:val="32"/>
          <w:szCs w:val="32"/>
        </w:rPr>
      </w:pPr>
    </w:p>
    <w:p w14:paraId="3AFF0D82">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65B60991">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1399FB9C">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w:t>
      </w:r>
    </w:p>
    <w:p w14:paraId="155653C9">
      <w:pPr>
        <w:widowControl/>
        <w:spacing w:after="150"/>
        <w:ind w:firstLine="420"/>
        <w:jc w:val="right"/>
        <w:rPr>
          <w:rFonts w:hint="eastAsia" w:ascii="仿宋" w:hAnsi="仿宋" w:eastAsia="仿宋" w:cs="仿宋"/>
          <w:kern w:val="0"/>
          <w:sz w:val="32"/>
          <w:szCs w:val="32"/>
        </w:rPr>
      </w:pPr>
    </w:p>
    <w:p w14:paraId="2BD8FDC5">
      <w:pPr>
        <w:widowControl/>
        <w:spacing w:after="150"/>
        <w:ind w:firstLine="420"/>
        <w:jc w:val="right"/>
        <w:rPr>
          <w:rFonts w:hint="eastAsia" w:ascii="仿宋" w:hAnsi="仿宋" w:eastAsia="仿宋" w:cs="仿宋"/>
          <w:kern w:val="0"/>
          <w:sz w:val="32"/>
          <w:szCs w:val="32"/>
        </w:rPr>
      </w:pPr>
    </w:p>
    <w:p w14:paraId="3E8C2770">
      <w:pPr>
        <w:widowControl/>
        <w:spacing w:after="150"/>
        <w:ind w:firstLine="420"/>
        <w:jc w:val="right"/>
        <w:rPr>
          <w:rFonts w:hint="eastAsia"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1D1C85C">
      <w:pPr>
        <w:widowControl/>
        <w:spacing w:after="150"/>
        <w:ind w:firstLine="420"/>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08002EA4">
      <w:pPr>
        <w:pStyle w:val="5"/>
        <w:ind w:firstLine="0" w:firstLineChars="0"/>
        <w:rPr>
          <w:rFonts w:hint="eastAsia" w:ascii="仿宋" w:hAnsi="仿宋" w:eastAsia="仿宋" w:cs="仿宋"/>
          <w:b/>
          <w:bCs/>
          <w:sz w:val="32"/>
          <w:szCs w:val="32"/>
        </w:rPr>
      </w:pPr>
      <w:r>
        <w:rPr>
          <w:rFonts w:hint="eastAsia" w:ascii="仿宋" w:hAnsi="仿宋" w:eastAsia="仿宋" w:cs="仿宋"/>
          <w:b/>
          <w:bCs/>
          <w:kern w:val="0"/>
          <w:sz w:val="32"/>
          <w:szCs w:val="32"/>
        </w:rPr>
        <w:t> </w:t>
      </w:r>
    </w:p>
    <w:p w14:paraId="0A0A0C6B">
      <w:pPr>
        <w:pStyle w:val="5"/>
        <w:ind w:firstLine="0" w:firstLineChars="0"/>
        <w:rPr>
          <w:rFonts w:hint="eastAsia"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9545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14:paraId="3E8B193F">
            <w:pPr>
              <w:pStyle w:val="5"/>
              <w:ind w:firstLine="0" w:firstLineChars="0"/>
              <w:rPr>
                <w:rFonts w:hint="eastAsia" w:ascii="仿宋" w:hAnsi="仿宋" w:eastAsia="仿宋" w:cs="仿宋"/>
                <w:b/>
                <w:bCs/>
                <w:sz w:val="32"/>
                <w:szCs w:val="32"/>
              </w:rPr>
            </w:pPr>
          </w:p>
        </w:tc>
      </w:tr>
    </w:tbl>
    <w:p w14:paraId="34B85671">
      <w:pPr>
        <w:pStyle w:val="5"/>
        <w:ind w:firstLine="0" w:firstLineChars="0"/>
        <w:rPr>
          <w:rFonts w:hint="eastAsia"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FD5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5417F7A4">
                          <w:pPr>
                            <w:pStyle w:val="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14:paraId="5417F7A4">
                    <w:pPr>
                      <w:pStyle w:val="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11F0E3B"/>
    <w:multiLevelType w:val="multilevel"/>
    <w:tmpl w:val="711F0E3B"/>
    <w:lvl w:ilvl="0" w:tentative="0">
      <w:start w:val="1"/>
      <w:numFmt w:val="japaneseCounting"/>
      <w:lvlText w:val="%1、"/>
      <w:lvlJc w:val="left"/>
      <w:pPr>
        <w:ind w:left="1080" w:hanging="108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0D7605"/>
    <w:rsid w:val="00104D56"/>
    <w:rsid w:val="001331DA"/>
    <w:rsid w:val="00142986"/>
    <w:rsid w:val="00144668"/>
    <w:rsid w:val="00174E10"/>
    <w:rsid w:val="001A548C"/>
    <w:rsid w:val="001F6F11"/>
    <w:rsid w:val="001F7160"/>
    <w:rsid w:val="00217F6B"/>
    <w:rsid w:val="002723E0"/>
    <w:rsid w:val="002D19C8"/>
    <w:rsid w:val="002E2774"/>
    <w:rsid w:val="00322D95"/>
    <w:rsid w:val="003264D6"/>
    <w:rsid w:val="00330937"/>
    <w:rsid w:val="00335715"/>
    <w:rsid w:val="00337EBE"/>
    <w:rsid w:val="00367EDA"/>
    <w:rsid w:val="00384E86"/>
    <w:rsid w:val="003E3FB1"/>
    <w:rsid w:val="00441209"/>
    <w:rsid w:val="00446FE6"/>
    <w:rsid w:val="00476453"/>
    <w:rsid w:val="004A34CE"/>
    <w:rsid w:val="004A790F"/>
    <w:rsid w:val="004E3BB2"/>
    <w:rsid w:val="00521DA8"/>
    <w:rsid w:val="00527718"/>
    <w:rsid w:val="005420E5"/>
    <w:rsid w:val="00556802"/>
    <w:rsid w:val="00595925"/>
    <w:rsid w:val="005D341A"/>
    <w:rsid w:val="005E1C01"/>
    <w:rsid w:val="0063134A"/>
    <w:rsid w:val="006457EB"/>
    <w:rsid w:val="00666DC4"/>
    <w:rsid w:val="006965A7"/>
    <w:rsid w:val="0072755E"/>
    <w:rsid w:val="00753FD6"/>
    <w:rsid w:val="007704A1"/>
    <w:rsid w:val="007C5E52"/>
    <w:rsid w:val="007D676F"/>
    <w:rsid w:val="00813866"/>
    <w:rsid w:val="00864D85"/>
    <w:rsid w:val="00864F28"/>
    <w:rsid w:val="00873F47"/>
    <w:rsid w:val="008752AB"/>
    <w:rsid w:val="008762EC"/>
    <w:rsid w:val="008831A2"/>
    <w:rsid w:val="008B1019"/>
    <w:rsid w:val="008D2BA5"/>
    <w:rsid w:val="008D3587"/>
    <w:rsid w:val="008E3588"/>
    <w:rsid w:val="008E628A"/>
    <w:rsid w:val="00943570"/>
    <w:rsid w:val="009553F9"/>
    <w:rsid w:val="00986A3D"/>
    <w:rsid w:val="00993E15"/>
    <w:rsid w:val="00A25B6E"/>
    <w:rsid w:val="00A3418C"/>
    <w:rsid w:val="00A348F8"/>
    <w:rsid w:val="00A36FA0"/>
    <w:rsid w:val="00A72559"/>
    <w:rsid w:val="00A81DB5"/>
    <w:rsid w:val="00A81F33"/>
    <w:rsid w:val="00AA2EA9"/>
    <w:rsid w:val="00AB45A7"/>
    <w:rsid w:val="00AE7ECC"/>
    <w:rsid w:val="00B07818"/>
    <w:rsid w:val="00B54114"/>
    <w:rsid w:val="00B80393"/>
    <w:rsid w:val="00BE5C6A"/>
    <w:rsid w:val="00C00819"/>
    <w:rsid w:val="00C418A6"/>
    <w:rsid w:val="00C42079"/>
    <w:rsid w:val="00C50F11"/>
    <w:rsid w:val="00C70B91"/>
    <w:rsid w:val="00CA16C2"/>
    <w:rsid w:val="00D15067"/>
    <w:rsid w:val="00DB6C5B"/>
    <w:rsid w:val="00DF52F2"/>
    <w:rsid w:val="00E14492"/>
    <w:rsid w:val="00E33D89"/>
    <w:rsid w:val="00E5139E"/>
    <w:rsid w:val="00E71167"/>
    <w:rsid w:val="00E738FC"/>
    <w:rsid w:val="00EF18E4"/>
    <w:rsid w:val="00F4535C"/>
    <w:rsid w:val="00F64F10"/>
    <w:rsid w:val="00F73ABB"/>
    <w:rsid w:val="00F9436B"/>
    <w:rsid w:val="00FB364B"/>
    <w:rsid w:val="00FB3D0D"/>
    <w:rsid w:val="00FC12E8"/>
    <w:rsid w:val="05AE5C90"/>
    <w:rsid w:val="2002442B"/>
    <w:rsid w:val="2B8D79DE"/>
    <w:rsid w:val="35482106"/>
    <w:rsid w:val="3915496F"/>
    <w:rsid w:val="42CA00D5"/>
    <w:rsid w:val="44514974"/>
    <w:rsid w:val="486D0780"/>
    <w:rsid w:val="712C624F"/>
    <w:rsid w:val="7F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Times New Roman"/>
      <w:b/>
      <w:bCs/>
      <w:kern w:val="36"/>
      <w:sz w:val="48"/>
      <w:szCs w:val="48"/>
    </w:rPr>
  </w:style>
  <w:style w:type="paragraph" w:styleId="3">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6"/>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link w:val="17"/>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7">
    <w:name w:val="Body Text Indent"/>
    <w:basedOn w:val="1"/>
    <w:link w:val="22"/>
    <w:qFormat/>
    <w:uiPriority w:val="0"/>
    <w:pPr>
      <w:spacing w:after="120"/>
      <w:ind w:left="420" w:leftChars="200"/>
    </w:pPr>
    <w:rPr>
      <w:rFonts w:ascii="Calibri" w:hAnsi="Calibri" w:eastAsia="宋体" w:cs="Times New Roman"/>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1">
    <w:name w:val="Body Text First Indent"/>
    <w:basedOn w:val="6"/>
    <w:link w:val="21"/>
    <w:qFormat/>
    <w:uiPriority w:val="99"/>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2">
    <w:name w:val="Body Text First Indent 2"/>
    <w:basedOn w:val="7"/>
    <w:link w:val="23"/>
    <w:qFormat/>
    <w:uiPriority w:val="0"/>
    <w:pPr>
      <w:ind w:firstLine="420" w:firstLineChars="200"/>
    </w:p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标题 5 字符"/>
    <w:basedOn w:val="15"/>
    <w:link w:val="4"/>
    <w:qFormat/>
    <w:uiPriority w:val="1"/>
    <w:rPr>
      <w:rFonts w:ascii="宋体" w:hAnsi="宋体" w:eastAsia="宋体" w:cs="宋体"/>
      <w:b/>
      <w:bCs/>
      <w:sz w:val="19"/>
      <w:szCs w:val="19"/>
      <w:lang w:val="zh-CN" w:bidi="zh-CN"/>
    </w:rPr>
  </w:style>
  <w:style w:type="character" w:customStyle="1" w:styleId="17">
    <w:name w:val="正文文本 字符"/>
    <w:basedOn w:val="15"/>
    <w:link w:val="6"/>
    <w:qFormat/>
    <w:uiPriority w:val="1"/>
    <w:rPr>
      <w:rFonts w:ascii="仿宋" w:hAnsi="仿宋" w:eastAsia="仿宋" w:cs="宋体"/>
      <w:sz w:val="24"/>
      <w:szCs w:val="24"/>
      <w:lang w:bidi="zh-CN"/>
    </w:rPr>
  </w:style>
  <w:style w:type="character" w:customStyle="1" w:styleId="18">
    <w:name w:val="页眉 字符"/>
    <w:basedOn w:val="15"/>
    <w:link w:val="9"/>
    <w:qFormat/>
    <w:uiPriority w:val="0"/>
    <w:rPr>
      <w:kern w:val="2"/>
      <w:sz w:val="18"/>
      <w:szCs w:val="18"/>
    </w:rPr>
  </w:style>
  <w:style w:type="character" w:customStyle="1" w:styleId="19">
    <w:name w:val="页脚 字符"/>
    <w:basedOn w:val="15"/>
    <w:link w:val="8"/>
    <w:qFormat/>
    <w:uiPriority w:val="0"/>
    <w:rPr>
      <w:kern w:val="2"/>
      <w:sz w:val="18"/>
      <w:szCs w:val="18"/>
    </w:rPr>
  </w:style>
  <w:style w:type="character" w:customStyle="1" w:styleId="20">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21">
    <w:name w:val="正文文本首行缩进 字符"/>
    <w:basedOn w:val="17"/>
    <w:link w:val="11"/>
    <w:qFormat/>
    <w:uiPriority w:val="99"/>
    <w:rPr>
      <w:rFonts w:ascii="仿宋" w:hAnsi="仿宋" w:eastAsia="仿宋" w:cs="宋体"/>
      <w:kern w:val="2"/>
      <w:sz w:val="21"/>
      <w:szCs w:val="24"/>
      <w:lang w:bidi="zh-CN"/>
    </w:rPr>
  </w:style>
  <w:style w:type="character" w:customStyle="1" w:styleId="22">
    <w:name w:val="正文文本缩进 字符"/>
    <w:basedOn w:val="15"/>
    <w:link w:val="7"/>
    <w:qFormat/>
    <w:uiPriority w:val="0"/>
    <w:rPr>
      <w:rFonts w:ascii="Calibri" w:hAnsi="Calibri" w:eastAsia="宋体" w:cs="Times New Roman"/>
      <w:kern w:val="2"/>
      <w:sz w:val="21"/>
      <w:szCs w:val="24"/>
    </w:rPr>
  </w:style>
  <w:style w:type="character" w:customStyle="1" w:styleId="23">
    <w:name w:val="正文文本首行缩进 2 字符"/>
    <w:basedOn w:val="22"/>
    <w:link w:val="12"/>
    <w:qFormat/>
    <w:uiPriority w:val="0"/>
    <w:rPr>
      <w:rFonts w:ascii="Calibri" w:hAnsi="Calibri" w:eastAsia="宋体" w:cs="Times New Roman"/>
      <w:kern w:val="2"/>
      <w:sz w:val="21"/>
      <w:szCs w:val="24"/>
    </w:rPr>
  </w:style>
  <w:style w:type="character" w:customStyle="1" w:styleId="24">
    <w:name w:val="font31"/>
    <w:basedOn w:val="15"/>
    <w:qFormat/>
    <w:uiPriority w:val="0"/>
    <w:rPr>
      <w:rFonts w:hint="eastAsia" w:ascii="宋体" w:hAnsi="宋体" w:eastAsia="宋体" w:cs="宋体"/>
      <w:color w:val="000000"/>
      <w:sz w:val="16"/>
      <w:szCs w:val="16"/>
      <w:u w:val="none"/>
    </w:rPr>
  </w:style>
  <w:style w:type="character" w:customStyle="1" w:styleId="25">
    <w:name w:val="font4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default" w:ascii="Times New Roman" w:hAnsi="Times New Roman" w:cs="Times New Roman"/>
      <w:color w:val="000000"/>
      <w:sz w:val="16"/>
      <w:szCs w:val="16"/>
      <w:u w:val="none"/>
    </w:rPr>
  </w:style>
  <w:style w:type="paragraph" w:styleId="27">
    <w:name w:val="List Paragraph"/>
    <w:basedOn w:val="1"/>
    <w:link w:val="28"/>
    <w:unhideWhenUsed/>
    <w:qFormat/>
    <w:uiPriority w:val="99"/>
    <w:pPr>
      <w:ind w:firstLine="420" w:firstLineChars="200"/>
    </w:pPr>
  </w:style>
  <w:style w:type="character" w:customStyle="1" w:styleId="28">
    <w:name w:val="列表段落 字符"/>
    <w:basedOn w:val="15"/>
    <w:link w:val="27"/>
    <w:qFormat/>
    <w:uiPriority w:val="99"/>
    <w:rPr>
      <w:rFonts w:asciiTheme="minorHAnsi" w:hAnsiTheme="minorHAnsi" w:eastAsiaTheme="minorEastAsia" w:cstheme="minorBidi"/>
      <w:kern w:val="2"/>
      <w:sz w:val="21"/>
      <w:szCs w:val="24"/>
    </w:rPr>
  </w:style>
  <w:style w:type="paragraph" w:customStyle="1" w:styleId="29">
    <w:name w:val="列出段落"/>
    <w:basedOn w:val="1"/>
    <w:qFormat/>
    <w:uiPriority w:val="99"/>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28</Pages>
  <Words>1123</Words>
  <Characters>1292</Characters>
  <Lines>72</Lines>
  <Paragraphs>20</Paragraphs>
  <TotalTime>278</TotalTime>
  <ScaleCrop>false</ScaleCrop>
  <LinksUpToDate>false</LinksUpToDate>
  <CharactersWithSpaces>1295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涂海宁</cp:lastModifiedBy>
  <cp:lastPrinted>2025-04-22T09:35:00Z</cp:lastPrinted>
  <dcterms:modified xsi:type="dcterms:W3CDTF">2025-04-24T01:29:50Z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5101D4EA195C4AB486F37E69486FAB4D_13</vt:lpwstr>
  </property>
  <property fmtid="{D5CDD505-2E9C-101B-9397-08002B2CF9AE}" pid="4" name="KSOTemplateDocerSaveRecord">
    <vt:lpwstr>eyJoZGlkIjoiOGM2ZGIzNTFhMjVkNWY0YjVlYzU2MTZkYTQxMGNmN2MiLCJ1c2VySWQiOiIxNjcyNzY4OTA1In0=</vt:lpwstr>
  </property>
</Properties>
</file>